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721" w:tblpY="-413"/>
        <w:tblW w:w="10800" w:type="dxa"/>
        <w:tblLayout w:type="fixed"/>
        <w:tblCellMar>
          <w:left w:w="0" w:type="dxa"/>
          <w:right w:w="0" w:type="dxa"/>
        </w:tblCellMar>
        <w:tblLook w:val="04A0" w:firstRow="1" w:lastRow="0" w:firstColumn="1" w:lastColumn="0" w:noHBand="0" w:noVBand="1"/>
      </w:tblPr>
      <w:tblGrid>
        <w:gridCol w:w="5040"/>
        <w:gridCol w:w="5760"/>
      </w:tblGrid>
      <w:tr w:rsidR="00F02E71" w:rsidRPr="00827975" w14:paraId="55CEE336" w14:textId="77777777" w:rsidTr="00F02E71">
        <w:tc>
          <w:tcPr>
            <w:tcW w:w="5040" w:type="dxa"/>
            <w:tcMar>
              <w:left w:w="0" w:type="dxa"/>
              <w:right w:w="0" w:type="dxa"/>
            </w:tcMar>
          </w:tcPr>
          <w:p w14:paraId="674F6206" w14:textId="039A45D5" w:rsidR="00F02E71" w:rsidRPr="00827975" w:rsidRDefault="00827975" w:rsidP="00827975">
            <w:pPr>
              <w:pStyle w:val="Header-Left"/>
              <w:spacing w:before="120" w:after="120" w:line="360" w:lineRule="auto"/>
              <w:ind w:left="45"/>
              <w:jc w:val="both"/>
              <w:rPr>
                <w:sz w:val="22"/>
              </w:rPr>
            </w:pPr>
            <w:r w:rsidRPr="00827975">
              <w:rPr>
                <w:b/>
                <w:noProof/>
                <w:sz w:val="22"/>
                <w:lang w:val="el-GR" w:eastAsia="el-GR"/>
              </w:rPr>
              <w:drawing>
                <wp:anchor distT="0" distB="0" distL="114300" distR="114300" simplePos="0" relativeHeight="251660288" behindDoc="0" locked="0" layoutInCell="1" allowOverlap="1" wp14:anchorId="2C312338" wp14:editId="1F3B1BFC">
                  <wp:simplePos x="0" y="0"/>
                  <wp:positionH relativeFrom="column">
                    <wp:posOffset>0</wp:posOffset>
                  </wp:positionH>
                  <wp:positionV relativeFrom="paragraph">
                    <wp:posOffset>193040</wp:posOffset>
                  </wp:positionV>
                  <wp:extent cx="1379855" cy="809625"/>
                  <wp:effectExtent l="0" t="0" r="0"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ourgeio-ygeias.jpg"/>
                          <pic:cNvPicPr/>
                        </pic:nvPicPr>
                        <pic:blipFill rotWithShape="1">
                          <a:blip r:embed="rId9">
                            <a:extLst>
                              <a:ext uri="{28A0092B-C50C-407E-A947-70E740481C1C}">
                                <a14:useLocalDpi xmlns:a14="http://schemas.microsoft.com/office/drawing/2010/main" val="0"/>
                              </a:ext>
                            </a:extLst>
                          </a:blip>
                          <a:srcRect b="25197"/>
                          <a:stretch/>
                        </pic:blipFill>
                        <pic:spPr bwMode="auto">
                          <a:xfrm>
                            <a:off x="0" y="0"/>
                            <a:ext cx="1379855" cy="809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60" w:type="dxa"/>
            <w:tcMar>
              <w:left w:w="0" w:type="dxa"/>
              <w:right w:w="0" w:type="dxa"/>
            </w:tcMar>
          </w:tcPr>
          <w:p w14:paraId="6B707F41" w14:textId="7BBB1AA6" w:rsidR="00F02E71" w:rsidRPr="00827975" w:rsidRDefault="00827975" w:rsidP="00827975">
            <w:pPr>
              <w:pStyle w:val="Header-Right"/>
              <w:spacing w:before="120" w:after="120" w:line="360" w:lineRule="auto"/>
              <w:jc w:val="both"/>
              <w:rPr>
                <w:rFonts w:asciiTheme="majorHAnsi" w:hAnsiTheme="majorHAnsi"/>
                <w:sz w:val="22"/>
                <w:lang w:val="el-GR"/>
              </w:rPr>
            </w:pPr>
            <w:r w:rsidRPr="00827975">
              <w:rPr>
                <w:rFonts w:asciiTheme="majorHAnsi" w:hAnsiTheme="majorHAnsi"/>
                <w:noProof/>
                <w:sz w:val="22"/>
                <w:lang w:val="el-GR" w:eastAsia="el-GR"/>
              </w:rPr>
              <w:drawing>
                <wp:anchor distT="0" distB="0" distL="114300" distR="114300" simplePos="0" relativeHeight="251659264" behindDoc="0" locked="0" layoutInCell="1" allowOverlap="1" wp14:anchorId="3FE901F0" wp14:editId="4BB9B3EE">
                  <wp:simplePos x="0" y="0"/>
                  <wp:positionH relativeFrom="column">
                    <wp:posOffset>2286000</wp:posOffset>
                  </wp:positionH>
                  <wp:positionV relativeFrom="paragraph">
                    <wp:posOffset>332593</wp:posOffset>
                  </wp:positionV>
                  <wp:extent cx="808892" cy="684349"/>
                  <wp:effectExtent l="0" t="0" r="0" b="1905"/>
                  <wp:wrapNone/>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Image_01.png"/>
                          <pic:cNvPicPr/>
                        </pic:nvPicPr>
                        <pic:blipFill>
                          <a:blip r:embed="rId10">
                            <a:extLst>
                              <a:ext uri="{28A0092B-C50C-407E-A947-70E740481C1C}">
                                <a14:useLocalDpi xmlns:a14="http://schemas.microsoft.com/office/drawing/2010/main" val="0"/>
                              </a:ext>
                            </a:extLst>
                          </a:blip>
                          <a:stretch>
                            <a:fillRect/>
                          </a:stretch>
                        </pic:blipFill>
                        <pic:spPr>
                          <a:xfrm>
                            <a:off x="0" y="0"/>
                            <a:ext cx="808355" cy="683895"/>
                          </a:xfrm>
                          <a:prstGeom prst="rect">
                            <a:avLst/>
                          </a:prstGeom>
                        </pic:spPr>
                      </pic:pic>
                    </a:graphicData>
                  </a:graphic>
                  <wp14:sizeRelH relativeFrom="page">
                    <wp14:pctWidth>0</wp14:pctWidth>
                  </wp14:sizeRelH>
                  <wp14:sizeRelV relativeFrom="page">
                    <wp14:pctHeight>0</wp14:pctHeight>
                  </wp14:sizeRelV>
                </wp:anchor>
              </w:drawing>
            </w:r>
          </w:p>
        </w:tc>
      </w:tr>
    </w:tbl>
    <w:p w14:paraId="7CEF7F88" w14:textId="63385824" w:rsidR="00F02E71" w:rsidRPr="00827975" w:rsidRDefault="00F02E71" w:rsidP="00827975">
      <w:pPr>
        <w:spacing w:before="120" w:after="120" w:line="360" w:lineRule="auto"/>
        <w:jc w:val="both"/>
        <w:rPr>
          <w:rFonts w:asciiTheme="majorHAnsi" w:hAnsiTheme="majorHAnsi"/>
          <w:sz w:val="22"/>
        </w:rPr>
      </w:pPr>
    </w:p>
    <w:tbl>
      <w:tblPr>
        <w:tblpPr w:leftFromText="180" w:rightFromText="180" w:vertAnchor="page" w:horzAnchor="page" w:tblpX="721" w:tblpY="3241"/>
        <w:tblW w:w="10800" w:type="dxa"/>
        <w:tblLayout w:type="fixed"/>
        <w:tblCellMar>
          <w:left w:w="0" w:type="dxa"/>
          <w:right w:w="0" w:type="dxa"/>
        </w:tblCellMar>
        <w:tblLook w:val="04A0" w:firstRow="1" w:lastRow="0" w:firstColumn="1" w:lastColumn="0" w:noHBand="0" w:noVBand="1"/>
      </w:tblPr>
      <w:tblGrid>
        <w:gridCol w:w="3240"/>
        <w:gridCol w:w="1800"/>
        <w:gridCol w:w="5760"/>
      </w:tblGrid>
      <w:tr w:rsidR="00F02E71" w:rsidRPr="00827975" w14:paraId="09FF9AA7" w14:textId="77777777" w:rsidTr="00F02E71">
        <w:tc>
          <w:tcPr>
            <w:tcW w:w="3240" w:type="dxa"/>
            <w:shd w:val="clear" w:color="auto" w:fill="4F81BD" w:themeFill="accent1"/>
          </w:tcPr>
          <w:p w14:paraId="0AFC7A59" w14:textId="77777777" w:rsidR="00F02E71" w:rsidRPr="00827975" w:rsidRDefault="00F02E71" w:rsidP="00827975">
            <w:pPr>
              <w:spacing w:before="120" w:after="120" w:line="360" w:lineRule="auto"/>
              <w:jc w:val="both"/>
              <w:rPr>
                <w:rFonts w:asciiTheme="majorHAnsi" w:hAnsiTheme="majorHAnsi"/>
                <w:sz w:val="22"/>
                <w:lang w:val="el-GR"/>
              </w:rPr>
            </w:pPr>
          </w:p>
        </w:tc>
        <w:tc>
          <w:tcPr>
            <w:tcW w:w="1800" w:type="dxa"/>
            <w:shd w:val="clear" w:color="auto" w:fill="E36C0A" w:themeFill="accent6" w:themeFillShade="BF"/>
          </w:tcPr>
          <w:p w14:paraId="12EE5837" w14:textId="77777777" w:rsidR="00F02E71" w:rsidRPr="00827975" w:rsidRDefault="00F02E71" w:rsidP="00827975">
            <w:pPr>
              <w:spacing w:before="120" w:after="120" w:line="360" w:lineRule="auto"/>
              <w:jc w:val="both"/>
              <w:rPr>
                <w:rFonts w:asciiTheme="majorHAnsi" w:hAnsiTheme="majorHAnsi"/>
                <w:sz w:val="22"/>
                <w:lang w:val="el-GR"/>
              </w:rPr>
            </w:pPr>
          </w:p>
        </w:tc>
        <w:tc>
          <w:tcPr>
            <w:tcW w:w="5760" w:type="dxa"/>
            <w:shd w:val="clear" w:color="auto" w:fill="99CCFF"/>
          </w:tcPr>
          <w:p w14:paraId="5CBAEC14" w14:textId="652D62C3" w:rsidR="00F02E71" w:rsidRPr="00717225" w:rsidRDefault="00717225" w:rsidP="00717225">
            <w:pPr>
              <w:spacing w:before="120" w:after="120" w:line="360" w:lineRule="auto"/>
              <w:jc w:val="center"/>
              <w:rPr>
                <w:rFonts w:asciiTheme="majorHAnsi" w:hAnsiTheme="majorHAnsi"/>
                <w:b/>
                <w:sz w:val="22"/>
                <w:lang w:val="el-GR"/>
              </w:rPr>
            </w:pPr>
            <w:r w:rsidRPr="00717225">
              <w:rPr>
                <w:rFonts w:asciiTheme="majorHAnsi" w:hAnsiTheme="majorHAnsi"/>
                <w:b/>
                <w:sz w:val="22"/>
                <w:lang w:val="el-GR"/>
              </w:rPr>
              <w:t>ΑΠΟΛΟΓΙΣΜΟΣ ΙΟΥΛΙΟΣ 2013-ΟΚΤΩΒΡΙΟΣ 2015</w:t>
            </w:r>
          </w:p>
        </w:tc>
      </w:tr>
    </w:tbl>
    <w:p w14:paraId="2DDCB4E9" w14:textId="0A7333A4" w:rsidR="00F02E71" w:rsidRPr="00827975" w:rsidRDefault="00F02E71" w:rsidP="00827975">
      <w:pPr>
        <w:spacing w:before="120" w:after="120" w:line="360" w:lineRule="auto"/>
        <w:jc w:val="both"/>
        <w:rPr>
          <w:rFonts w:asciiTheme="majorHAnsi" w:hAnsiTheme="majorHAnsi"/>
          <w:sz w:val="22"/>
        </w:rPr>
      </w:pPr>
    </w:p>
    <w:p w14:paraId="071529FC" w14:textId="77777777" w:rsidR="00F02E71" w:rsidRPr="00827975" w:rsidRDefault="00F02E71" w:rsidP="00827975">
      <w:pPr>
        <w:pStyle w:val="NoSpaceBetween"/>
        <w:spacing w:before="120" w:after="120" w:line="360" w:lineRule="auto"/>
        <w:jc w:val="both"/>
        <w:rPr>
          <w:rFonts w:asciiTheme="majorHAnsi" w:hAnsiTheme="majorHAnsi"/>
          <w:sz w:val="22"/>
          <w:lang w:val="el-GR"/>
        </w:rPr>
      </w:pPr>
    </w:p>
    <w:p w14:paraId="4259280C" w14:textId="77777777" w:rsidR="00F02E71" w:rsidRPr="00827975" w:rsidRDefault="00F02E71" w:rsidP="00827975">
      <w:pPr>
        <w:spacing w:before="120" w:after="120" w:line="360" w:lineRule="auto"/>
        <w:jc w:val="both"/>
        <w:rPr>
          <w:rFonts w:asciiTheme="majorHAnsi" w:hAnsiTheme="majorHAnsi"/>
          <w:sz w:val="22"/>
          <w:lang w:val="el-GR"/>
        </w:rPr>
      </w:pPr>
    </w:p>
    <w:p w14:paraId="2E2BE84F" w14:textId="5B161B2B" w:rsidR="00B90740" w:rsidRPr="00C9237D" w:rsidRDefault="00B90740" w:rsidP="00C9237D">
      <w:pPr>
        <w:spacing w:before="120" w:after="120" w:line="360" w:lineRule="auto"/>
        <w:jc w:val="both"/>
        <w:rPr>
          <w:rFonts w:asciiTheme="majorHAnsi" w:hAnsiTheme="majorHAnsi"/>
          <w:b/>
          <w:color w:val="E36C0A" w:themeColor="accent6" w:themeShade="BF"/>
          <w:sz w:val="22"/>
          <w:lang w:val="el-GR"/>
        </w:rPr>
      </w:pPr>
      <w:r w:rsidRPr="00C9237D">
        <w:rPr>
          <w:rFonts w:asciiTheme="majorHAnsi" w:hAnsiTheme="majorHAnsi"/>
          <w:b/>
          <w:color w:val="E36C0A" w:themeColor="accent6" w:themeShade="BF"/>
          <w:sz w:val="22"/>
          <w:lang w:val="el-GR"/>
        </w:rPr>
        <w:t>Εισαγωγή</w:t>
      </w:r>
    </w:p>
    <w:p w14:paraId="250DC680" w14:textId="24C0AADC" w:rsidR="003B746E" w:rsidRPr="00C9237D" w:rsidRDefault="003B746E" w:rsidP="003B746E">
      <w:pPr>
        <w:spacing w:before="120" w:after="120" w:line="360" w:lineRule="auto"/>
        <w:jc w:val="both"/>
        <w:rPr>
          <w:rFonts w:asciiTheme="majorHAnsi" w:hAnsiTheme="majorHAnsi"/>
          <w:sz w:val="22"/>
          <w:lang w:val="el-GR"/>
        </w:rPr>
      </w:pPr>
      <w:r w:rsidRPr="00C9237D">
        <w:rPr>
          <w:rFonts w:asciiTheme="majorHAnsi" w:hAnsiTheme="majorHAnsi"/>
          <w:sz w:val="22"/>
          <w:lang w:val="el-GR"/>
        </w:rPr>
        <w:t xml:space="preserve">Τον Ιούλιο του 2013 στην Επιτροπή </w:t>
      </w:r>
      <w:r w:rsidR="00BD60A9">
        <w:rPr>
          <w:rFonts w:asciiTheme="majorHAnsi" w:hAnsiTheme="majorHAnsi"/>
          <w:sz w:val="22"/>
          <w:lang w:val="el-GR"/>
        </w:rPr>
        <w:t xml:space="preserve">Κοινωνικών Υποθέσεων της Βουλής, η οποία </w:t>
      </w:r>
      <w:r w:rsidRPr="00C9237D">
        <w:rPr>
          <w:rFonts w:asciiTheme="majorHAnsi" w:hAnsiTheme="majorHAnsi"/>
          <w:sz w:val="22"/>
          <w:lang w:val="el-GR"/>
        </w:rPr>
        <w:t xml:space="preserve">ενέκρινε την τοποθέτηση μου στον ΕΟΠΥΥ, ένας από τους συμμετέχοντες βουλευτές στην παρέμβασή του τόνισε ότι στη Βουλή δεν πρέπει να εγκρίνεται μόνο η τοποθέτηση του νέου Προέδρου ενός Οργανισμού, αλλά να παρουσιάζεται και </w:t>
      </w:r>
      <w:r w:rsidR="00BD60A9">
        <w:rPr>
          <w:rFonts w:asciiTheme="majorHAnsi" w:hAnsiTheme="majorHAnsi"/>
          <w:sz w:val="22"/>
          <w:lang w:val="el-GR"/>
        </w:rPr>
        <w:t>να καταθέτει τον απολογισμό του</w:t>
      </w:r>
      <w:r w:rsidRPr="00C9237D">
        <w:rPr>
          <w:rFonts w:asciiTheme="majorHAnsi" w:hAnsiTheme="majorHAnsi"/>
          <w:sz w:val="22"/>
          <w:lang w:val="el-GR"/>
        </w:rPr>
        <w:t xml:space="preserve"> ενώπιον της </w:t>
      </w:r>
      <w:r>
        <w:rPr>
          <w:rFonts w:asciiTheme="majorHAnsi" w:hAnsiTheme="majorHAnsi"/>
          <w:sz w:val="22"/>
          <w:lang w:val="el-GR"/>
        </w:rPr>
        <w:t>αρμόδια</w:t>
      </w:r>
      <w:r w:rsidRPr="00C9237D">
        <w:rPr>
          <w:rFonts w:asciiTheme="majorHAnsi" w:hAnsiTheme="majorHAnsi"/>
          <w:sz w:val="22"/>
          <w:lang w:val="el-GR"/>
        </w:rPr>
        <w:t>ς</w:t>
      </w:r>
      <w:r>
        <w:rPr>
          <w:rFonts w:asciiTheme="majorHAnsi" w:hAnsiTheme="majorHAnsi"/>
          <w:sz w:val="22"/>
          <w:lang w:val="el-GR"/>
        </w:rPr>
        <w:t xml:space="preserve"> Επιτροπής</w:t>
      </w:r>
      <w:r w:rsidRPr="00C9237D">
        <w:rPr>
          <w:rFonts w:asciiTheme="majorHAnsi" w:hAnsiTheme="majorHAnsi"/>
          <w:sz w:val="22"/>
          <w:lang w:val="el-GR"/>
        </w:rPr>
        <w:t xml:space="preserve"> και ο απερχόμενος. Καθώς συμφωνώ απόλυτα με την πρόταση αυτή και δεδομένου ότι δεν έχει ακόμη θεσμοθετηθεί μία τέτοια διαδικασία, θα παρουσιάσω τα κύρια σημεία της 28μηνης θητείας μου στον ΕΟΠΥΥ.</w:t>
      </w:r>
    </w:p>
    <w:p w14:paraId="1C84D72C" w14:textId="7C232F64" w:rsidR="003B746E" w:rsidRPr="00827975" w:rsidRDefault="003B746E" w:rsidP="003B746E">
      <w:pPr>
        <w:spacing w:before="120" w:after="120" w:line="360" w:lineRule="auto"/>
        <w:jc w:val="both"/>
        <w:rPr>
          <w:rFonts w:asciiTheme="majorHAnsi" w:hAnsiTheme="majorHAnsi"/>
          <w:sz w:val="22"/>
          <w:lang w:val="el-GR"/>
        </w:rPr>
      </w:pPr>
      <w:r w:rsidRPr="00827975">
        <w:rPr>
          <w:rFonts w:asciiTheme="majorHAnsi" w:hAnsiTheme="majorHAnsi"/>
          <w:sz w:val="22"/>
          <w:lang w:val="el-GR"/>
        </w:rPr>
        <w:t>Ο απολογισμός αυτός είναι μία συλλογική προσπάθεια και δεν αφορά αποκλειστικά τον Πρόεδρο</w:t>
      </w:r>
      <w:r>
        <w:rPr>
          <w:rFonts w:asciiTheme="majorHAnsi" w:hAnsiTheme="majorHAnsi"/>
          <w:sz w:val="22"/>
          <w:lang w:val="el-GR"/>
        </w:rPr>
        <w:t xml:space="preserve"> και τον Αντιπρόεδρο</w:t>
      </w:r>
      <w:r w:rsidRPr="00827975">
        <w:rPr>
          <w:rFonts w:asciiTheme="majorHAnsi" w:hAnsiTheme="majorHAnsi"/>
          <w:sz w:val="22"/>
          <w:lang w:val="el-GR"/>
        </w:rPr>
        <w:t>.</w:t>
      </w:r>
      <w:r w:rsidR="008B25E8">
        <w:rPr>
          <w:rFonts w:asciiTheme="majorHAnsi" w:hAnsiTheme="majorHAnsi"/>
          <w:sz w:val="22"/>
          <w:lang w:val="el-GR"/>
        </w:rPr>
        <w:t xml:space="preserve"> Υλοποιήθηκε από τις</w:t>
      </w:r>
      <w:r>
        <w:rPr>
          <w:rFonts w:asciiTheme="majorHAnsi" w:hAnsiTheme="majorHAnsi"/>
          <w:sz w:val="22"/>
          <w:lang w:val="el-GR"/>
        </w:rPr>
        <w:t xml:space="preserve"> άοκν</w:t>
      </w:r>
      <w:r w:rsidR="008B25E8">
        <w:rPr>
          <w:rFonts w:asciiTheme="majorHAnsi" w:hAnsiTheme="majorHAnsi"/>
          <w:sz w:val="22"/>
          <w:lang w:val="el-GR"/>
        </w:rPr>
        <w:t>ες προσπάθειες</w:t>
      </w:r>
      <w:r>
        <w:rPr>
          <w:rFonts w:asciiTheme="majorHAnsi" w:hAnsiTheme="majorHAnsi"/>
          <w:sz w:val="22"/>
          <w:lang w:val="el-GR"/>
        </w:rPr>
        <w:t xml:space="preserve"> του Γενικού Διευθυντή,</w:t>
      </w:r>
      <w:r w:rsidR="008B25E8">
        <w:rPr>
          <w:rFonts w:asciiTheme="majorHAnsi" w:hAnsiTheme="majorHAnsi"/>
          <w:sz w:val="22"/>
          <w:lang w:val="el-GR"/>
        </w:rPr>
        <w:t xml:space="preserve"> της Γενικής Επιθεωρήτριας της ΥΠΕΔΥΦΚΑ,</w:t>
      </w:r>
      <w:r w:rsidRPr="00827975">
        <w:rPr>
          <w:rFonts w:asciiTheme="majorHAnsi" w:hAnsiTheme="majorHAnsi"/>
          <w:sz w:val="22"/>
          <w:lang w:val="el-GR"/>
        </w:rPr>
        <w:t xml:space="preserve"> των Διευθυντών, των Προϊσταμένων και των εργαζομένων του Οργανισμού, αλλά και των μελών του ΔΣ, τα οποία συμμετείχαν υπεύθυνα, ενεργά και καθορι</w:t>
      </w:r>
      <w:r w:rsidR="00BD60A9">
        <w:rPr>
          <w:rFonts w:asciiTheme="majorHAnsi" w:hAnsiTheme="majorHAnsi"/>
          <w:sz w:val="22"/>
          <w:lang w:val="el-GR"/>
        </w:rPr>
        <w:t>στικά στην τελική διαμόρφωση των</w:t>
      </w:r>
      <w:r w:rsidRPr="00827975">
        <w:rPr>
          <w:rFonts w:asciiTheme="majorHAnsi" w:hAnsiTheme="majorHAnsi"/>
          <w:sz w:val="22"/>
          <w:lang w:val="el-GR"/>
        </w:rPr>
        <w:t xml:space="preserve"> αποφάσεων. Τέλος, η διαρκής συνεργασία με το Υπουργείο Υγείας, το οποίο έδωσε τη θεσμική δυνατότητα για την υλοποίηση</w:t>
      </w:r>
      <w:r w:rsidR="00BD60A9">
        <w:rPr>
          <w:rFonts w:asciiTheme="majorHAnsi" w:hAnsiTheme="majorHAnsi"/>
          <w:sz w:val="22"/>
          <w:lang w:val="el-GR"/>
        </w:rPr>
        <w:t xml:space="preserve"> της πολιτικής και την εφαρμογή</w:t>
      </w:r>
      <w:r w:rsidRPr="00827975">
        <w:rPr>
          <w:rFonts w:asciiTheme="majorHAnsi" w:hAnsiTheme="majorHAnsi"/>
          <w:sz w:val="22"/>
          <w:lang w:val="el-GR"/>
        </w:rPr>
        <w:t xml:space="preserve"> κρίσιμων μέτρων.</w:t>
      </w:r>
    </w:p>
    <w:p w14:paraId="7F6D7426" w14:textId="64A306AB" w:rsidR="003B746E" w:rsidRDefault="003B746E" w:rsidP="00C9237D">
      <w:pPr>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 Ένας τίμιος απολογισμός είναι η καλύτερη συνεισφορά στην αλλαγή διοίκησης ενός μεγάλου Οργανισμού όπως </w:t>
      </w:r>
      <w:r w:rsidR="00BD60A9">
        <w:rPr>
          <w:rFonts w:asciiTheme="majorHAnsi" w:hAnsiTheme="majorHAnsi"/>
          <w:sz w:val="22"/>
          <w:lang w:val="el-GR"/>
        </w:rPr>
        <w:t xml:space="preserve">είναι </w:t>
      </w:r>
      <w:r w:rsidRPr="00827975">
        <w:rPr>
          <w:rFonts w:asciiTheme="majorHAnsi" w:hAnsiTheme="majorHAnsi"/>
          <w:sz w:val="22"/>
          <w:lang w:val="el-GR"/>
        </w:rPr>
        <w:t xml:space="preserve">ο ΕΟΠΥΥ. Η πλήρης καταγραφή των πεπραγμένων της διετίας και η αναλυτική απεικόνιση των προϋπολογιστικών μεγεθών όπως εκφράστηκαν σε παροχές προς τους ασφαλισμένους αποτελούν την έμμεση νομιμοποιητική βάση της λειτουργίας του Οργανισμού. </w:t>
      </w:r>
    </w:p>
    <w:p w14:paraId="4AF0B8F5" w14:textId="01D831FE" w:rsidR="00C9237D" w:rsidRPr="00C9237D" w:rsidRDefault="00C9237D" w:rsidP="00C9237D">
      <w:pPr>
        <w:spacing w:before="120" w:after="120" w:line="360" w:lineRule="auto"/>
        <w:jc w:val="both"/>
        <w:rPr>
          <w:rFonts w:asciiTheme="majorHAnsi" w:hAnsiTheme="majorHAnsi"/>
          <w:sz w:val="22"/>
          <w:lang w:val="el-GR"/>
        </w:rPr>
      </w:pPr>
      <w:r w:rsidRPr="00C9237D">
        <w:rPr>
          <w:rFonts w:asciiTheme="majorHAnsi" w:hAnsiTheme="majorHAnsi"/>
          <w:sz w:val="22"/>
          <w:lang w:val="el-GR"/>
        </w:rPr>
        <w:t>Ο ΕΟΠΥΥ συνιστά μία μείζονα μεταρρύθμιση στο χώρο της υγείας, τη μεγαλύτερη μετά την ίδρυση του Εθνικού Συστήματος Υγείας την δεκαετία του 1980.</w:t>
      </w:r>
      <w:r>
        <w:rPr>
          <w:rFonts w:asciiTheme="majorHAnsi" w:hAnsiTheme="majorHAnsi"/>
          <w:sz w:val="22"/>
          <w:lang w:val="el-GR"/>
        </w:rPr>
        <w:t xml:space="preserve"> </w:t>
      </w:r>
      <w:r w:rsidRPr="00C9237D">
        <w:rPr>
          <w:rFonts w:asciiTheme="majorHAnsi" w:hAnsiTheme="majorHAnsi"/>
          <w:sz w:val="22"/>
          <w:lang w:val="el-GR"/>
        </w:rPr>
        <w:t>Η</w:t>
      </w:r>
      <w:r>
        <w:rPr>
          <w:rFonts w:asciiTheme="majorHAnsi" w:hAnsiTheme="majorHAnsi"/>
          <w:sz w:val="22"/>
          <w:lang w:val="el-GR"/>
        </w:rPr>
        <w:t xml:space="preserve"> σύστασή</w:t>
      </w:r>
      <w:r w:rsidRPr="00C9237D">
        <w:rPr>
          <w:rFonts w:asciiTheme="majorHAnsi" w:hAnsiTheme="majorHAnsi"/>
          <w:sz w:val="22"/>
          <w:lang w:val="el-GR"/>
        </w:rPr>
        <w:t xml:space="preserve">  του έγινε με </w:t>
      </w:r>
      <w:r>
        <w:rPr>
          <w:rFonts w:asciiTheme="majorHAnsi" w:hAnsiTheme="majorHAnsi"/>
          <w:sz w:val="22"/>
          <w:lang w:val="el-GR"/>
        </w:rPr>
        <w:t xml:space="preserve">τον ν.3918/2011 με τη μεταφορά και ένταξη υπηρεσιών, αρμοδιοτήτων και προσωπικού </w:t>
      </w:r>
      <w:r w:rsidRPr="00C9237D">
        <w:rPr>
          <w:rFonts w:asciiTheme="majorHAnsi" w:hAnsiTheme="majorHAnsi"/>
          <w:sz w:val="22"/>
          <w:lang w:val="el-GR"/>
        </w:rPr>
        <w:t xml:space="preserve"> </w:t>
      </w:r>
      <w:r>
        <w:rPr>
          <w:rFonts w:asciiTheme="majorHAnsi" w:hAnsiTheme="majorHAnsi"/>
          <w:sz w:val="22"/>
          <w:lang w:val="el-GR"/>
        </w:rPr>
        <w:t xml:space="preserve">από επιμέρους </w:t>
      </w:r>
      <w:r w:rsidR="00BD60A9">
        <w:rPr>
          <w:rFonts w:asciiTheme="majorHAnsi" w:hAnsiTheme="majorHAnsi"/>
          <w:sz w:val="22"/>
          <w:lang w:val="el-GR"/>
        </w:rPr>
        <w:t>κλάδους υγείας των ασφαλιστικών</w:t>
      </w:r>
      <w:r>
        <w:rPr>
          <w:rFonts w:asciiTheme="majorHAnsi" w:hAnsiTheme="majorHAnsi"/>
          <w:sz w:val="22"/>
          <w:lang w:val="el-GR"/>
        </w:rPr>
        <w:t xml:space="preserve"> ταμείων. Ωστόσο, το εγχείρημα δεν </w:t>
      </w:r>
      <w:r w:rsidRPr="00C9237D">
        <w:rPr>
          <w:rFonts w:asciiTheme="majorHAnsi" w:hAnsiTheme="majorHAnsi"/>
          <w:sz w:val="22"/>
          <w:lang w:val="el-GR"/>
        </w:rPr>
        <w:t>συνοδεύτηκ</w:t>
      </w:r>
      <w:r>
        <w:rPr>
          <w:rFonts w:asciiTheme="majorHAnsi" w:hAnsiTheme="majorHAnsi"/>
          <w:sz w:val="22"/>
          <w:lang w:val="el-GR"/>
        </w:rPr>
        <w:t xml:space="preserve">ε από επιχειρησιακό </w:t>
      </w:r>
      <w:r w:rsidR="00BD60A9">
        <w:rPr>
          <w:rFonts w:asciiTheme="majorHAnsi" w:hAnsiTheme="majorHAnsi"/>
          <w:sz w:val="22"/>
          <w:lang w:val="el-GR"/>
        </w:rPr>
        <w:t>σχεδιασμό</w:t>
      </w:r>
      <w:r>
        <w:rPr>
          <w:rFonts w:asciiTheme="majorHAnsi" w:hAnsiTheme="majorHAnsi"/>
          <w:sz w:val="22"/>
          <w:lang w:val="el-GR"/>
        </w:rPr>
        <w:t xml:space="preserve"> και αντίστοιχη ο</w:t>
      </w:r>
      <w:r w:rsidRPr="00C9237D">
        <w:rPr>
          <w:rFonts w:asciiTheme="majorHAnsi" w:hAnsiTheme="majorHAnsi"/>
          <w:sz w:val="22"/>
          <w:lang w:val="el-GR"/>
        </w:rPr>
        <w:t xml:space="preserve">ικονομική μελέτη. </w:t>
      </w:r>
      <w:r w:rsidRPr="00C9237D">
        <w:rPr>
          <w:rFonts w:asciiTheme="majorHAnsi" w:hAnsiTheme="majorHAnsi"/>
          <w:sz w:val="22"/>
          <w:lang w:val="el-GR"/>
        </w:rPr>
        <w:lastRenderedPageBreak/>
        <w:t xml:space="preserve">Χαρακτηριστικό </w:t>
      </w:r>
      <w:r>
        <w:rPr>
          <w:rFonts w:asciiTheme="majorHAnsi" w:hAnsiTheme="majorHAnsi"/>
          <w:sz w:val="22"/>
          <w:lang w:val="el-GR"/>
        </w:rPr>
        <w:t xml:space="preserve">παράδειγμα το γεγονός ότι </w:t>
      </w:r>
      <w:r w:rsidRPr="00C9237D">
        <w:rPr>
          <w:rFonts w:asciiTheme="majorHAnsi" w:hAnsiTheme="majorHAnsi"/>
          <w:sz w:val="22"/>
          <w:lang w:val="el-GR"/>
        </w:rPr>
        <w:t>ξεκίνησε με έλλειμμα 2,5 δις. ευρώ.</w:t>
      </w:r>
      <w:r>
        <w:rPr>
          <w:rFonts w:asciiTheme="majorHAnsi" w:hAnsiTheme="majorHAnsi"/>
          <w:sz w:val="22"/>
          <w:lang w:val="el-GR"/>
        </w:rPr>
        <w:t xml:space="preserve"> </w:t>
      </w:r>
      <w:r w:rsidRPr="00C9237D">
        <w:rPr>
          <w:rFonts w:asciiTheme="majorHAnsi" w:hAnsiTheme="majorHAnsi"/>
          <w:sz w:val="22"/>
          <w:lang w:val="el-GR"/>
        </w:rPr>
        <w:t xml:space="preserve">Το σημαντικότερο όμως είναι ότι δεν υποστηρίχθηκε </w:t>
      </w:r>
      <w:r>
        <w:rPr>
          <w:rFonts w:asciiTheme="majorHAnsi" w:hAnsiTheme="majorHAnsi"/>
          <w:sz w:val="22"/>
          <w:lang w:val="el-GR"/>
        </w:rPr>
        <w:t>ούτε</w:t>
      </w:r>
      <w:r w:rsidRPr="00C9237D">
        <w:rPr>
          <w:rFonts w:asciiTheme="majorHAnsi" w:hAnsiTheme="majorHAnsi"/>
          <w:sz w:val="22"/>
          <w:lang w:val="el-GR"/>
        </w:rPr>
        <w:t xml:space="preserve"> οργανωτικά, δ</w:t>
      </w:r>
      <w:r w:rsidR="00BD60A9">
        <w:rPr>
          <w:rFonts w:asciiTheme="majorHAnsi" w:hAnsiTheme="majorHAnsi"/>
          <w:sz w:val="22"/>
          <w:lang w:val="el-GR"/>
        </w:rPr>
        <w:t>ιοικητικά και πολιτικά. Αντιθέτως</w:t>
      </w:r>
      <w:r>
        <w:rPr>
          <w:rFonts w:asciiTheme="majorHAnsi" w:hAnsiTheme="majorHAnsi"/>
          <w:sz w:val="22"/>
          <w:lang w:val="el-GR"/>
        </w:rPr>
        <w:t>,</w:t>
      </w:r>
      <w:r w:rsidRPr="00C9237D">
        <w:rPr>
          <w:rFonts w:asciiTheme="majorHAnsi" w:hAnsiTheme="majorHAnsi"/>
          <w:sz w:val="22"/>
          <w:lang w:val="el-GR"/>
        </w:rPr>
        <w:t xml:space="preserve"> επειδή κληρονόμησε όλες τις παθογένειες των επιμέρους φορέων</w:t>
      </w:r>
      <w:r w:rsidR="003B746E">
        <w:rPr>
          <w:rFonts w:asciiTheme="majorHAnsi" w:hAnsiTheme="majorHAnsi"/>
          <w:sz w:val="22"/>
          <w:lang w:val="el-GR"/>
        </w:rPr>
        <w:t>,</w:t>
      </w:r>
      <w:r w:rsidRPr="00C9237D">
        <w:rPr>
          <w:rFonts w:asciiTheme="majorHAnsi" w:hAnsiTheme="majorHAnsi"/>
          <w:sz w:val="22"/>
          <w:lang w:val="el-GR"/>
        </w:rPr>
        <w:t xml:space="preserve"> βρέθ</w:t>
      </w:r>
      <w:r w:rsidR="003B746E">
        <w:rPr>
          <w:rFonts w:asciiTheme="majorHAnsi" w:hAnsiTheme="majorHAnsi"/>
          <w:sz w:val="22"/>
          <w:lang w:val="el-GR"/>
        </w:rPr>
        <w:t>ηκε από την πρώτη στιγμή στο κέ</w:t>
      </w:r>
      <w:r w:rsidRPr="00C9237D">
        <w:rPr>
          <w:rFonts w:asciiTheme="majorHAnsi" w:hAnsiTheme="majorHAnsi"/>
          <w:sz w:val="22"/>
          <w:lang w:val="el-GR"/>
        </w:rPr>
        <w:t xml:space="preserve">ντρο </w:t>
      </w:r>
      <w:r w:rsidR="003B746E">
        <w:rPr>
          <w:rFonts w:asciiTheme="majorHAnsi" w:hAnsiTheme="majorHAnsi"/>
          <w:sz w:val="22"/>
          <w:lang w:val="el-GR"/>
        </w:rPr>
        <w:t xml:space="preserve">σφοδρής </w:t>
      </w:r>
      <w:r w:rsidRPr="00C9237D">
        <w:rPr>
          <w:rFonts w:asciiTheme="majorHAnsi" w:hAnsiTheme="majorHAnsi"/>
          <w:sz w:val="22"/>
          <w:lang w:val="el-GR"/>
        </w:rPr>
        <w:t xml:space="preserve">κριτικής και </w:t>
      </w:r>
      <w:r w:rsidR="003B746E">
        <w:rPr>
          <w:rFonts w:asciiTheme="majorHAnsi" w:hAnsiTheme="majorHAnsi"/>
          <w:sz w:val="22"/>
          <w:lang w:val="el-GR"/>
        </w:rPr>
        <w:t>συνεχούς απαξίωσης</w:t>
      </w:r>
      <w:r w:rsidRPr="00C9237D">
        <w:rPr>
          <w:rFonts w:asciiTheme="majorHAnsi" w:hAnsiTheme="majorHAnsi"/>
          <w:sz w:val="22"/>
          <w:lang w:val="el-GR"/>
        </w:rPr>
        <w:t xml:space="preserve">.     </w:t>
      </w:r>
    </w:p>
    <w:p w14:paraId="0C4D690C" w14:textId="5FA20F8A" w:rsidR="00A92DA0" w:rsidRPr="00827975" w:rsidRDefault="003B746E" w:rsidP="00827975">
      <w:pPr>
        <w:spacing w:before="120" w:after="120" w:line="360" w:lineRule="auto"/>
        <w:jc w:val="both"/>
        <w:rPr>
          <w:rFonts w:asciiTheme="majorHAnsi" w:hAnsiTheme="majorHAnsi"/>
          <w:sz w:val="22"/>
          <w:lang w:val="el-GR"/>
        </w:rPr>
      </w:pPr>
      <w:r>
        <w:rPr>
          <w:rFonts w:asciiTheme="majorHAnsi" w:hAnsiTheme="majorHAnsi"/>
          <w:sz w:val="22"/>
          <w:lang w:val="el-GR"/>
        </w:rPr>
        <w:t>Σήμερα, ο</w:t>
      </w:r>
      <w:r w:rsidR="00257B88" w:rsidRPr="00827975">
        <w:rPr>
          <w:rFonts w:asciiTheme="majorHAnsi" w:hAnsiTheme="majorHAnsi"/>
          <w:sz w:val="22"/>
          <w:lang w:val="el-GR"/>
        </w:rPr>
        <w:t xml:space="preserve">ι επιπτώσεις της οικονομικής ύφεσης και της δημοσιονομικής προσαρμογής στο σύστημα υγείας αλλά </w:t>
      </w:r>
      <w:r w:rsidR="00E710BA" w:rsidRPr="00827975">
        <w:rPr>
          <w:rFonts w:asciiTheme="majorHAnsi" w:hAnsiTheme="majorHAnsi"/>
          <w:sz w:val="22"/>
          <w:lang w:val="el-GR"/>
        </w:rPr>
        <w:t>και στην κοινωνία αποτέλεσαν το δύσκολο περιβάλλον εντός του οποίου κλήθηκε ο ΕΟΠΥΥ να παρέχει υπηρεσίες υγείας</w:t>
      </w:r>
      <w:r w:rsidR="00444D05" w:rsidRPr="00827975">
        <w:rPr>
          <w:rFonts w:asciiTheme="majorHAnsi" w:hAnsiTheme="majorHAnsi"/>
          <w:sz w:val="22"/>
          <w:lang w:val="el-GR"/>
        </w:rPr>
        <w:t>. Η αύξηση της ανεργίας και η συνακόλουθη απώλεια της ασφαλιστικής ικανότητας μεγάλης μερίδας του πληθυσμού,</w:t>
      </w:r>
      <w:r w:rsidR="00244375" w:rsidRPr="00827975">
        <w:rPr>
          <w:rFonts w:asciiTheme="majorHAnsi" w:hAnsiTheme="majorHAnsi"/>
          <w:sz w:val="22"/>
          <w:lang w:val="el-GR"/>
        </w:rPr>
        <w:t xml:space="preserve"> η αύξηση των νοικοκυριών</w:t>
      </w:r>
      <w:r w:rsidR="0068441D" w:rsidRPr="00827975">
        <w:rPr>
          <w:rFonts w:asciiTheme="majorHAnsi" w:hAnsiTheme="majorHAnsi"/>
          <w:sz w:val="22"/>
          <w:lang w:val="el-GR"/>
        </w:rPr>
        <w:t xml:space="preserve"> τα οποία αντιμετωπίζουν καταστροφικές δαπάνες,</w:t>
      </w:r>
      <w:r w:rsidR="00444D05" w:rsidRPr="00827975">
        <w:rPr>
          <w:rFonts w:asciiTheme="majorHAnsi" w:hAnsiTheme="majorHAnsi"/>
          <w:sz w:val="22"/>
          <w:lang w:val="el-GR"/>
        </w:rPr>
        <w:t xml:space="preserve"> </w:t>
      </w:r>
      <w:r w:rsidR="0068441D" w:rsidRPr="00827975">
        <w:rPr>
          <w:rFonts w:asciiTheme="majorHAnsi" w:hAnsiTheme="majorHAnsi"/>
          <w:sz w:val="22"/>
          <w:lang w:val="el-GR"/>
        </w:rPr>
        <w:t>η μείωση των κοινωνικών δαπανών και της αγοραστικής δύναμης των πολιτών,</w:t>
      </w:r>
      <w:r w:rsidR="00444D05" w:rsidRPr="00827975">
        <w:rPr>
          <w:rFonts w:asciiTheme="majorHAnsi" w:hAnsiTheme="majorHAnsi"/>
          <w:sz w:val="22"/>
          <w:lang w:val="el-GR"/>
        </w:rPr>
        <w:t xml:space="preserve"> η αποδυνάμωση της προϋπολογιστικής βάσ</w:t>
      </w:r>
      <w:r w:rsidR="00A92DA0" w:rsidRPr="00827975">
        <w:rPr>
          <w:rFonts w:asciiTheme="majorHAnsi" w:hAnsiTheme="majorHAnsi"/>
          <w:sz w:val="22"/>
          <w:lang w:val="el-GR"/>
        </w:rPr>
        <w:t>ης του ΕΟΠΥΥ, λόγω της μεί</w:t>
      </w:r>
      <w:r w:rsidR="00A65587" w:rsidRPr="00827975">
        <w:rPr>
          <w:rFonts w:asciiTheme="majorHAnsi" w:hAnsiTheme="majorHAnsi"/>
          <w:sz w:val="22"/>
          <w:lang w:val="el-GR"/>
        </w:rPr>
        <w:t xml:space="preserve">ωσης των εισφορών και της κρατικής επιχορήγησης, είναι μερικές από τις άμεσα ορατές επιπτώσεις της οικονομικής κρίσης στη λειτουργία του Οργανισμού. </w:t>
      </w:r>
    </w:p>
    <w:p w14:paraId="6857978C" w14:textId="5E028210" w:rsidR="00B2349F" w:rsidRPr="00827975" w:rsidRDefault="00A92DA0" w:rsidP="00827975">
      <w:pPr>
        <w:tabs>
          <w:tab w:val="left" w:pos="8222"/>
        </w:tabs>
        <w:spacing w:before="120" w:after="120" w:line="360" w:lineRule="auto"/>
        <w:ind w:right="-64"/>
        <w:jc w:val="both"/>
        <w:rPr>
          <w:rFonts w:asciiTheme="majorHAnsi" w:hAnsiTheme="majorHAnsi"/>
          <w:sz w:val="22"/>
          <w:lang w:val="el-GR"/>
        </w:rPr>
      </w:pPr>
      <w:r w:rsidRPr="00827975">
        <w:rPr>
          <w:rFonts w:asciiTheme="majorHAnsi" w:hAnsiTheme="majorHAnsi"/>
          <w:sz w:val="22"/>
          <w:lang w:val="el-GR"/>
        </w:rPr>
        <w:t>Μολονότι, πράγματι, η χώρα τ</w:t>
      </w:r>
      <w:r w:rsidR="009B4AFA" w:rsidRPr="00827975">
        <w:rPr>
          <w:rFonts w:asciiTheme="majorHAnsi" w:hAnsiTheme="majorHAnsi"/>
          <w:sz w:val="22"/>
          <w:lang w:val="el-GR"/>
        </w:rPr>
        <w:t>α προηγούμενα χρόνια καταγράφει σημαντικές μειώσεις στη συνολική δαπάνη υγείας (~35,3%) και ειδικότερα στη δημόσια δαπάνη υγείας και τη δημόσια φαρμακευτική δαπάνη με αρνητικές μεταβολές της τάξεως του 41% και 50% αντίστοιχα</w:t>
      </w:r>
      <w:r w:rsidR="00853CFB" w:rsidRPr="00827975">
        <w:rPr>
          <w:rFonts w:asciiTheme="majorHAnsi" w:hAnsiTheme="majorHAnsi"/>
          <w:sz w:val="22"/>
          <w:lang w:val="el-GR"/>
        </w:rPr>
        <w:t xml:space="preserve">, </w:t>
      </w:r>
      <w:r w:rsidR="00B2349F" w:rsidRPr="00827975">
        <w:rPr>
          <w:rFonts w:asciiTheme="majorHAnsi" w:hAnsiTheme="majorHAnsi"/>
          <w:sz w:val="22"/>
          <w:lang w:val="el-GR"/>
        </w:rPr>
        <w:t xml:space="preserve">σε διάστημα μίας πενταετίας, </w:t>
      </w:r>
      <w:r w:rsidR="00853CFB" w:rsidRPr="00827975">
        <w:rPr>
          <w:rFonts w:asciiTheme="majorHAnsi" w:hAnsiTheme="majorHAnsi"/>
          <w:sz w:val="22"/>
          <w:lang w:val="el-GR"/>
        </w:rPr>
        <w:t>ο ΕΟΠΥΥ επικεντρώθηκε στην κύρια αποστολή του, ως εθνικού ασφαλιστικού φορέα περίθαλψης ο οποίος αγοράζει και παρέχει προς όφελος και για λογαριασμό των δικαιούχων του υπηρεσίες υγείας από το δημόσιο και</w:t>
      </w:r>
      <w:r w:rsidR="00BD60A9">
        <w:rPr>
          <w:rFonts w:asciiTheme="majorHAnsi" w:hAnsiTheme="majorHAnsi"/>
          <w:sz w:val="22"/>
          <w:lang w:val="el-GR"/>
        </w:rPr>
        <w:t xml:space="preserve"> τον</w:t>
      </w:r>
      <w:r w:rsidR="00853CFB" w:rsidRPr="00827975">
        <w:rPr>
          <w:rFonts w:asciiTheme="majorHAnsi" w:hAnsiTheme="majorHAnsi"/>
          <w:sz w:val="22"/>
          <w:lang w:val="el-GR"/>
        </w:rPr>
        <w:t xml:space="preserve"> ιδιωτικό τομέα. </w:t>
      </w:r>
    </w:p>
    <w:p w14:paraId="148C8A41" w14:textId="214480C6" w:rsidR="00244375" w:rsidRDefault="00244375" w:rsidP="00827975">
      <w:pPr>
        <w:tabs>
          <w:tab w:val="left" w:pos="8222"/>
        </w:tabs>
        <w:spacing w:before="120" w:after="120" w:line="360" w:lineRule="auto"/>
        <w:ind w:right="-64"/>
        <w:jc w:val="both"/>
        <w:rPr>
          <w:rFonts w:asciiTheme="majorHAnsi" w:hAnsiTheme="majorHAnsi"/>
          <w:sz w:val="22"/>
          <w:lang w:val="el-GR"/>
        </w:rPr>
      </w:pPr>
      <w:r w:rsidRPr="00827975">
        <w:rPr>
          <w:rFonts w:asciiTheme="majorHAnsi" w:hAnsiTheme="majorHAnsi"/>
          <w:sz w:val="22"/>
          <w:lang w:val="el-GR"/>
        </w:rPr>
        <w:t xml:space="preserve">Ο ΕΟΠΥΥ </w:t>
      </w:r>
      <w:r w:rsidR="003F6E61" w:rsidRPr="00827975">
        <w:rPr>
          <w:rFonts w:asciiTheme="majorHAnsi" w:hAnsiTheme="majorHAnsi"/>
          <w:sz w:val="22"/>
          <w:lang w:val="el-GR"/>
        </w:rPr>
        <w:t xml:space="preserve">παρά τις πολλές και σε σύντομο χρονικό διάστημα μεταρρυθμίσεις τις οποίες υπέστη στο χαρακτήρα και τον ρόλο του και τη μη υποστήριξή του, είτε σε επίπεδο διοικητικού εγχειρήματος είτε χρηματοδότησης, </w:t>
      </w:r>
      <w:r w:rsidRPr="00827975">
        <w:rPr>
          <w:rFonts w:asciiTheme="majorHAnsi" w:hAnsiTheme="majorHAnsi"/>
          <w:sz w:val="22"/>
          <w:lang w:val="el-GR"/>
        </w:rPr>
        <w:t xml:space="preserve">παραμένει ένας </w:t>
      </w:r>
      <w:r w:rsidR="003F6E61" w:rsidRPr="00827975">
        <w:rPr>
          <w:rFonts w:asciiTheme="majorHAnsi" w:hAnsiTheme="majorHAnsi"/>
          <w:sz w:val="22"/>
          <w:lang w:val="el-GR"/>
        </w:rPr>
        <w:t>νευραλγικός Οργανισμός. Το</w:t>
      </w:r>
      <w:r w:rsidR="00164042" w:rsidRPr="00827975">
        <w:rPr>
          <w:rFonts w:asciiTheme="majorHAnsi" w:hAnsiTheme="majorHAnsi"/>
          <w:sz w:val="22"/>
          <w:lang w:val="el-GR"/>
        </w:rPr>
        <w:t xml:space="preserve"> στρατηγικό</w:t>
      </w:r>
      <w:r w:rsidR="003F6E61" w:rsidRPr="00827975">
        <w:rPr>
          <w:rFonts w:asciiTheme="majorHAnsi" w:hAnsiTheme="majorHAnsi"/>
          <w:sz w:val="22"/>
          <w:lang w:val="el-GR"/>
        </w:rPr>
        <w:t xml:space="preserve"> όραμα του Ε.Ο.Π.Υ.Υ. οφείλει να </w:t>
      </w:r>
      <w:r w:rsidRPr="00827975">
        <w:rPr>
          <w:rFonts w:asciiTheme="majorHAnsi" w:hAnsiTheme="majorHAnsi"/>
          <w:sz w:val="22"/>
          <w:lang w:val="el-GR"/>
        </w:rPr>
        <w:t xml:space="preserve">είναι η </w:t>
      </w:r>
      <w:r w:rsidR="00164042" w:rsidRPr="00827975">
        <w:rPr>
          <w:rFonts w:asciiTheme="majorHAnsi" w:hAnsiTheme="majorHAnsi"/>
          <w:sz w:val="22"/>
          <w:lang w:val="el-GR"/>
        </w:rPr>
        <w:t>μετεξέλιξή του σε έναν σύγχρονο, λειτουργικό</w:t>
      </w:r>
      <w:r w:rsidRPr="00827975">
        <w:rPr>
          <w:rFonts w:asciiTheme="majorHAnsi" w:hAnsiTheme="majorHAnsi"/>
          <w:sz w:val="22"/>
          <w:lang w:val="el-GR"/>
        </w:rPr>
        <w:t>, ο</w:t>
      </w:r>
      <w:r w:rsidR="00164042" w:rsidRPr="00827975">
        <w:rPr>
          <w:rFonts w:asciiTheme="majorHAnsi" w:hAnsiTheme="majorHAnsi"/>
          <w:sz w:val="22"/>
          <w:lang w:val="el-GR"/>
        </w:rPr>
        <w:t>ικονομικά βιώσιμο και φιλικό προς το χρήστη Οργανισμό</w:t>
      </w:r>
      <w:r w:rsidRPr="00827975">
        <w:rPr>
          <w:rFonts w:asciiTheme="majorHAnsi" w:hAnsiTheme="majorHAnsi"/>
          <w:sz w:val="22"/>
          <w:lang w:val="el-GR"/>
        </w:rPr>
        <w:t xml:space="preserve">, ο οποίος αξιοποιεί, βάση τεκμηρίων, τους διαθέσιμους πόρους του, εισάγει καινοτόμους θεσμούς, θέτει νέους κανόνες συνεργασίας με τους εταίρους του, με διαφάνεια, αμοιβαία εμπιστοσύνη και συνέπεια, και υιοθετεί εργαλεία με σκοπό την προστασία και αναβάθμιση του επιπέδου υγείας των </w:t>
      </w:r>
      <w:r w:rsidR="00164042" w:rsidRPr="00827975">
        <w:rPr>
          <w:rFonts w:asciiTheme="majorHAnsi" w:hAnsiTheme="majorHAnsi"/>
          <w:sz w:val="22"/>
          <w:lang w:val="el-GR"/>
        </w:rPr>
        <w:t>πολιτών</w:t>
      </w:r>
      <w:r w:rsidRPr="00827975">
        <w:rPr>
          <w:rFonts w:asciiTheme="majorHAnsi" w:hAnsiTheme="majorHAnsi"/>
          <w:sz w:val="22"/>
          <w:lang w:val="el-GR"/>
        </w:rPr>
        <w:t xml:space="preserve"> και την εν γένει αποδοτική λειτουργία του Οργανισμού.</w:t>
      </w:r>
    </w:p>
    <w:p w14:paraId="1932CC14" w14:textId="4CCBCAB2" w:rsidR="00717225" w:rsidRDefault="00717225">
      <w:pPr>
        <w:rPr>
          <w:rFonts w:asciiTheme="majorHAnsi" w:hAnsiTheme="majorHAnsi"/>
          <w:sz w:val="22"/>
          <w:lang w:val="el-GR"/>
        </w:rPr>
      </w:pPr>
      <w:r>
        <w:rPr>
          <w:rFonts w:asciiTheme="majorHAnsi" w:hAnsiTheme="majorHAnsi"/>
          <w:sz w:val="22"/>
          <w:lang w:val="el-GR"/>
        </w:rPr>
        <w:br w:type="page"/>
      </w:r>
    </w:p>
    <w:p w14:paraId="412BE7AE" w14:textId="77777777" w:rsidR="00717225" w:rsidRPr="00827975" w:rsidRDefault="00717225" w:rsidP="00827975">
      <w:pPr>
        <w:tabs>
          <w:tab w:val="left" w:pos="8222"/>
        </w:tabs>
        <w:spacing w:before="120" w:after="120" w:line="360" w:lineRule="auto"/>
        <w:ind w:right="-64"/>
        <w:jc w:val="both"/>
        <w:rPr>
          <w:rFonts w:asciiTheme="majorHAnsi" w:hAnsiTheme="majorHAnsi"/>
          <w:sz w:val="22"/>
          <w:lang w:val="el-GR"/>
        </w:rPr>
      </w:pPr>
    </w:p>
    <w:p w14:paraId="6E80A2D8" w14:textId="05417CC8" w:rsidR="00164042" w:rsidRPr="00827975" w:rsidRDefault="00164042" w:rsidP="00827975">
      <w:pPr>
        <w:pStyle w:val="a4"/>
        <w:shd w:val="clear" w:color="auto" w:fill="DBE5F1" w:themeFill="accent1" w:themeFillTint="33"/>
        <w:spacing w:before="120" w:after="120" w:line="360" w:lineRule="auto"/>
        <w:rPr>
          <w:rFonts w:asciiTheme="majorHAnsi" w:hAnsiTheme="majorHAnsi"/>
          <w:b/>
          <w:color w:val="E36C0A" w:themeColor="accent6" w:themeShade="BF"/>
          <w:sz w:val="22"/>
          <w:lang w:val="el-GR"/>
        </w:rPr>
      </w:pPr>
      <w:r w:rsidRPr="00827975">
        <w:rPr>
          <w:rFonts w:asciiTheme="majorHAnsi" w:hAnsiTheme="majorHAnsi"/>
          <w:b/>
          <w:color w:val="E36C0A" w:themeColor="accent6" w:themeShade="BF"/>
          <w:sz w:val="22"/>
          <w:lang w:val="el-GR"/>
        </w:rPr>
        <w:t>Παροχές ΕΟΠΥΥ, 2014</w:t>
      </w:r>
      <w:r w:rsidR="00A141F0">
        <w:rPr>
          <w:rStyle w:val="a7"/>
          <w:rFonts w:asciiTheme="majorHAnsi" w:hAnsiTheme="majorHAnsi"/>
          <w:b/>
          <w:color w:val="E36C0A" w:themeColor="accent6" w:themeShade="BF"/>
          <w:sz w:val="22"/>
          <w:lang w:val="el-GR"/>
        </w:rPr>
        <w:footnoteReference w:id="1"/>
      </w:r>
    </w:p>
    <w:p w14:paraId="4E7F9832" w14:textId="77777777" w:rsidR="00164042" w:rsidRDefault="00164042" w:rsidP="00827975">
      <w:pPr>
        <w:spacing w:before="120" w:after="120" w:line="360" w:lineRule="auto"/>
        <w:ind w:left="360"/>
        <w:rPr>
          <w:rFonts w:asciiTheme="majorHAnsi" w:hAnsiTheme="majorHAnsi"/>
          <w:color w:val="C0504D" w:themeColor="accent2"/>
          <w:sz w:val="22"/>
          <w:lang w:val="el-GR"/>
        </w:rPr>
      </w:pPr>
    </w:p>
    <w:p w14:paraId="7A3C5FB6" w14:textId="0E25FEE8" w:rsidR="00A141F0" w:rsidRPr="00A141F0" w:rsidRDefault="00A141F0" w:rsidP="00C14703">
      <w:pPr>
        <w:rPr>
          <w:rFonts w:asciiTheme="majorHAnsi" w:hAnsiTheme="majorHAnsi"/>
          <w:color w:val="365F91" w:themeColor="accent1" w:themeShade="BF"/>
          <w:sz w:val="22"/>
          <w:u w:val="single"/>
          <w:lang w:val="el-GR"/>
        </w:rPr>
      </w:pPr>
      <w:r w:rsidRPr="00A141F0">
        <w:rPr>
          <w:rFonts w:asciiTheme="majorHAnsi" w:hAnsiTheme="majorHAnsi"/>
          <w:color w:val="365F91" w:themeColor="accent1" w:themeShade="BF"/>
          <w:sz w:val="22"/>
          <w:u w:val="single"/>
          <w:lang w:val="el-GR"/>
        </w:rPr>
        <w:t>Επισκέψεις &amp; Διαγνωστικές Εξετάσεις</w:t>
      </w:r>
    </w:p>
    <w:p w14:paraId="3713B5DA" w14:textId="503DE767" w:rsidR="00E75CA4" w:rsidRPr="00A141F0" w:rsidRDefault="00A141F0" w:rsidP="00C14703">
      <w:pPr>
        <w:pStyle w:val="a3"/>
        <w:numPr>
          <w:ilvl w:val="0"/>
          <w:numId w:val="35"/>
        </w:numPr>
        <w:ind w:left="709" w:hanging="425"/>
        <w:rPr>
          <w:rFonts w:asciiTheme="majorHAnsi" w:hAnsiTheme="majorHAnsi"/>
        </w:rPr>
      </w:pPr>
      <w:r w:rsidRPr="00A141F0">
        <w:rPr>
          <w:rFonts w:asciiTheme="majorHAnsi" w:hAnsiTheme="majorHAnsi"/>
        </w:rPr>
        <w:t>11.711.990 επισκέψεις σε συμβεβλημένους ιατρούς, κόστους 117.119.900€</w:t>
      </w:r>
    </w:p>
    <w:p w14:paraId="37C83213" w14:textId="135BBFB0" w:rsidR="00A141F0" w:rsidRPr="00A141F0" w:rsidRDefault="00A141F0" w:rsidP="00C14703">
      <w:pPr>
        <w:pStyle w:val="a3"/>
        <w:numPr>
          <w:ilvl w:val="0"/>
          <w:numId w:val="35"/>
        </w:numPr>
        <w:ind w:left="709" w:hanging="425"/>
        <w:rPr>
          <w:rFonts w:asciiTheme="majorHAnsi" w:hAnsiTheme="majorHAnsi"/>
        </w:rPr>
      </w:pPr>
      <w:r w:rsidRPr="00A141F0">
        <w:rPr>
          <w:rFonts w:asciiTheme="majorHAnsi" w:hAnsiTheme="majorHAnsi"/>
        </w:rPr>
        <w:t xml:space="preserve">127.675.491 </w:t>
      </w:r>
      <w:r w:rsidRPr="00C14703">
        <w:rPr>
          <w:rFonts w:asciiTheme="majorHAnsi" w:hAnsiTheme="majorHAnsi"/>
        </w:rPr>
        <w:t>παραπεμπτικά,</w:t>
      </w:r>
      <w:r w:rsidRPr="00A141F0">
        <w:rPr>
          <w:rFonts w:asciiTheme="majorHAnsi" w:hAnsiTheme="majorHAnsi"/>
        </w:rPr>
        <w:t xml:space="preserve"> κόστους 970.929.164€</w:t>
      </w:r>
    </w:p>
    <w:p w14:paraId="41D57151" w14:textId="0EA8F1AB" w:rsidR="00A141F0" w:rsidRPr="00A141F0" w:rsidRDefault="00A141F0" w:rsidP="00C14703">
      <w:pPr>
        <w:pStyle w:val="a3"/>
        <w:numPr>
          <w:ilvl w:val="0"/>
          <w:numId w:val="35"/>
        </w:numPr>
        <w:ind w:left="709" w:hanging="425"/>
        <w:rPr>
          <w:rFonts w:asciiTheme="majorHAnsi" w:hAnsiTheme="majorHAnsi"/>
        </w:rPr>
      </w:pPr>
      <w:r w:rsidRPr="00A141F0">
        <w:rPr>
          <w:rFonts w:asciiTheme="majorHAnsi" w:hAnsiTheme="majorHAnsi"/>
        </w:rPr>
        <w:t>1.032.030 αξονικές τομογραφίες</w:t>
      </w:r>
      <w:r w:rsidRPr="00A141F0">
        <w:rPr>
          <w:rFonts w:asciiTheme="majorHAnsi" w:hAnsiTheme="majorHAnsi"/>
          <w:shd w:val="clear" w:color="auto" w:fill="FFFFFF" w:themeFill="background1"/>
        </w:rPr>
        <w:t>, κόστους 53.621.231</w:t>
      </w:r>
      <w:r w:rsidRPr="00A141F0">
        <w:rPr>
          <w:rFonts w:asciiTheme="majorHAnsi" w:hAnsiTheme="majorHAnsi"/>
        </w:rPr>
        <w:t>€</w:t>
      </w:r>
    </w:p>
    <w:p w14:paraId="71E34B2F" w14:textId="024BEACB" w:rsidR="00A141F0" w:rsidRPr="00A141F0" w:rsidRDefault="00A141F0" w:rsidP="00C14703">
      <w:pPr>
        <w:pStyle w:val="a3"/>
        <w:numPr>
          <w:ilvl w:val="0"/>
          <w:numId w:val="35"/>
        </w:numPr>
        <w:ind w:left="709" w:hanging="425"/>
        <w:rPr>
          <w:rFonts w:asciiTheme="majorHAnsi" w:hAnsiTheme="majorHAnsi"/>
        </w:rPr>
      </w:pPr>
      <w:r w:rsidRPr="00A141F0">
        <w:rPr>
          <w:rFonts w:asciiTheme="majorHAnsi" w:hAnsiTheme="majorHAnsi"/>
        </w:rPr>
        <w:t>591. 873 μαγνητικές τομογραφίες, κόστους 94.945.986€</w:t>
      </w:r>
    </w:p>
    <w:p w14:paraId="357B0DAB" w14:textId="07DCAE69" w:rsidR="00A141F0" w:rsidRPr="00A141F0" w:rsidRDefault="00A141F0" w:rsidP="00C14703">
      <w:pPr>
        <w:pStyle w:val="a3"/>
        <w:numPr>
          <w:ilvl w:val="0"/>
          <w:numId w:val="35"/>
        </w:numPr>
        <w:ind w:left="709" w:hanging="425"/>
        <w:rPr>
          <w:rFonts w:asciiTheme="majorHAnsi" w:hAnsiTheme="majorHAnsi"/>
        </w:rPr>
      </w:pPr>
      <w:r w:rsidRPr="00A141F0">
        <w:rPr>
          <w:rFonts w:asciiTheme="majorHAnsi" w:hAnsiTheme="majorHAnsi"/>
        </w:rPr>
        <w:t xml:space="preserve">1.093. 928 </w:t>
      </w:r>
      <w:r w:rsidRPr="00C14703">
        <w:rPr>
          <w:rFonts w:asciiTheme="majorHAnsi" w:hAnsiTheme="majorHAnsi"/>
        </w:rPr>
        <w:t>triplex</w:t>
      </w:r>
      <w:r w:rsidR="008B4A13" w:rsidRPr="00C14703">
        <w:rPr>
          <w:rStyle w:val="a7"/>
          <w:rFonts w:asciiTheme="majorHAnsi" w:hAnsiTheme="majorHAnsi"/>
        </w:rPr>
        <w:footnoteReference w:id="2"/>
      </w:r>
      <w:r w:rsidRPr="00A141F0">
        <w:rPr>
          <w:rFonts w:asciiTheme="majorHAnsi" w:hAnsiTheme="majorHAnsi"/>
        </w:rPr>
        <w:t xml:space="preserve"> , κόστους 52.347.240€</w:t>
      </w:r>
    </w:p>
    <w:p w14:paraId="4B250CA1" w14:textId="7DB20602" w:rsidR="00A141F0" w:rsidRPr="00A141F0" w:rsidRDefault="00A141F0" w:rsidP="00C14703">
      <w:pPr>
        <w:pStyle w:val="a3"/>
        <w:numPr>
          <w:ilvl w:val="0"/>
          <w:numId w:val="35"/>
        </w:numPr>
        <w:ind w:left="709" w:hanging="425"/>
        <w:rPr>
          <w:rFonts w:asciiTheme="majorHAnsi" w:hAnsiTheme="majorHAnsi"/>
        </w:rPr>
      </w:pPr>
      <w:r w:rsidRPr="00A141F0">
        <w:rPr>
          <w:rFonts w:asciiTheme="majorHAnsi" w:hAnsiTheme="majorHAnsi"/>
        </w:rPr>
        <w:t>3.898.764 υπέρηχοι, κόστους 79.127.128€</w:t>
      </w:r>
    </w:p>
    <w:p w14:paraId="48ABB25B" w14:textId="77777777" w:rsidR="002E6C34" w:rsidRDefault="002E6C34" w:rsidP="00BF1E88">
      <w:pPr>
        <w:rPr>
          <w:rFonts w:asciiTheme="majorHAnsi" w:hAnsiTheme="majorHAnsi"/>
          <w:color w:val="365F91" w:themeColor="accent1" w:themeShade="BF"/>
          <w:sz w:val="22"/>
          <w:u w:val="single"/>
          <w:lang w:val="el-GR"/>
        </w:rPr>
      </w:pPr>
    </w:p>
    <w:p w14:paraId="0F30DE52" w14:textId="1B9F4877" w:rsidR="00E75CA4" w:rsidRPr="002E6C34" w:rsidRDefault="002E6C34" w:rsidP="00BF1E88">
      <w:pPr>
        <w:rPr>
          <w:rFonts w:asciiTheme="majorHAnsi" w:hAnsiTheme="majorHAnsi"/>
          <w:color w:val="365F91" w:themeColor="accent1" w:themeShade="BF"/>
          <w:sz w:val="22"/>
          <w:u w:val="single"/>
          <w:lang w:val="el-GR"/>
        </w:rPr>
      </w:pPr>
      <w:r w:rsidRPr="002E6C34">
        <w:rPr>
          <w:rFonts w:asciiTheme="majorHAnsi" w:hAnsiTheme="majorHAnsi"/>
          <w:color w:val="365F91" w:themeColor="accent1" w:themeShade="BF"/>
          <w:sz w:val="22"/>
          <w:u w:val="single"/>
          <w:lang w:val="el-GR"/>
        </w:rPr>
        <w:t>Κλειστή Περίθαλψη</w:t>
      </w:r>
    </w:p>
    <w:p w14:paraId="7ABB41D5" w14:textId="77777777" w:rsidR="00BF1E88" w:rsidRPr="00BF1E88" w:rsidRDefault="00BF1E88" w:rsidP="00BF1E88">
      <w:pPr>
        <w:pStyle w:val="a3"/>
        <w:ind w:left="1440"/>
        <w:rPr>
          <w:rFonts w:asciiTheme="majorHAnsi" w:hAnsiTheme="majorHAnsi"/>
          <w:u w:val="single"/>
        </w:rPr>
      </w:pPr>
    </w:p>
    <w:p w14:paraId="5ABE164B" w14:textId="653BF33D" w:rsidR="002D65ED" w:rsidRPr="002D65ED" w:rsidRDefault="002D65ED" w:rsidP="002D65ED">
      <w:pPr>
        <w:pStyle w:val="a3"/>
        <w:numPr>
          <w:ilvl w:val="0"/>
          <w:numId w:val="37"/>
        </w:numPr>
        <w:ind w:left="709" w:hanging="425"/>
        <w:jc w:val="both"/>
        <w:rPr>
          <w:rFonts w:ascii="Calibri" w:eastAsia="Times New Roman" w:hAnsi="Calibri" w:cs="Times New Roman"/>
          <w:color w:val="000000"/>
          <w:lang w:eastAsia="el-GR"/>
        </w:rPr>
      </w:pPr>
      <w:r w:rsidRPr="002D65ED">
        <w:rPr>
          <w:rFonts w:ascii="Calibri" w:eastAsia="Times New Roman" w:hAnsi="Calibri" w:cs="Times New Roman"/>
          <w:color w:val="000000"/>
          <w:lang w:eastAsia="el-GR"/>
        </w:rPr>
        <w:t>1</w:t>
      </w:r>
      <w:r w:rsidR="0043653B">
        <w:rPr>
          <w:rFonts w:ascii="Calibri" w:eastAsia="Times New Roman" w:hAnsi="Calibri" w:cs="Times New Roman"/>
          <w:color w:val="000000"/>
          <w:lang w:eastAsia="el-GR"/>
        </w:rPr>
        <w:t>.</w:t>
      </w:r>
      <w:r w:rsidRPr="002D65ED">
        <w:rPr>
          <w:rFonts w:ascii="Calibri" w:eastAsia="Times New Roman" w:hAnsi="Calibri" w:cs="Times New Roman"/>
          <w:color w:val="000000"/>
          <w:lang w:eastAsia="el-GR"/>
        </w:rPr>
        <w:t>268</w:t>
      </w:r>
      <w:r w:rsidR="0043653B">
        <w:rPr>
          <w:rFonts w:ascii="Calibri" w:eastAsia="Times New Roman" w:hAnsi="Calibri" w:cs="Times New Roman"/>
          <w:color w:val="000000"/>
          <w:lang w:eastAsia="el-GR"/>
        </w:rPr>
        <w:t>.</w:t>
      </w:r>
      <w:r w:rsidRPr="002D65ED">
        <w:rPr>
          <w:rFonts w:ascii="Calibri" w:eastAsia="Times New Roman" w:hAnsi="Calibri" w:cs="Times New Roman"/>
          <w:color w:val="000000"/>
          <w:lang w:eastAsia="el-GR"/>
        </w:rPr>
        <w:t>971</w:t>
      </w:r>
      <w:r w:rsidR="0043653B">
        <w:rPr>
          <w:rFonts w:ascii="Calibri" w:eastAsia="Times New Roman" w:hAnsi="Calibri" w:cs="Times New Roman"/>
          <w:color w:val="000000"/>
          <w:lang w:eastAsia="el-GR"/>
        </w:rPr>
        <w:t>.</w:t>
      </w:r>
      <w:r w:rsidRPr="002D65ED">
        <w:rPr>
          <w:rFonts w:ascii="Calibri" w:eastAsia="Times New Roman" w:hAnsi="Calibri" w:cs="Times New Roman"/>
          <w:color w:val="000000"/>
          <w:lang w:eastAsia="el-GR"/>
        </w:rPr>
        <w:t>179</w:t>
      </w:r>
      <w:r w:rsidRPr="002D65ED">
        <w:rPr>
          <w:rFonts w:asciiTheme="majorHAnsi" w:hAnsiTheme="majorHAnsi"/>
        </w:rPr>
        <w:t>€</w:t>
      </w:r>
      <w:r>
        <w:rPr>
          <w:rFonts w:asciiTheme="majorHAnsi" w:hAnsiTheme="majorHAnsi"/>
        </w:rPr>
        <w:t xml:space="preserve"> για νοσηλείες</w:t>
      </w:r>
      <w:r w:rsidRPr="002D65ED">
        <w:rPr>
          <w:rFonts w:asciiTheme="majorHAnsi" w:hAnsiTheme="majorHAnsi"/>
        </w:rPr>
        <w:t xml:space="preserve"> σε δημόσια νοσοκομεία</w:t>
      </w:r>
      <w:r>
        <w:rPr>
          <w:rStyle w:val="a7"/>
          <w:rFonts w:asciiTheme="majorHAnsi" w:hAnsiTheme="majorHAnsi"/>
        </w:rPr>
        <w:footnoteReference w:id="3"/>
      </w:r>
    </w:p>
    <w:p w14:paraId="4C2E172D" w14:textId="17B9325A" w:rsidR="00E75CA4" w:rsidRPr="00103AAF" w:rsidRDefault="00103AAF" w:rsidP="00C14703">
      <w:pPr>
        <w:pStyle w:val="a3"/>
        <w:numPr>
          <w:ilvl w:val="0"/>
          <w:numId w:val="37"/>
        </w:numPr>
        <w:ind w:left="709" w:hanging="425"/>
        <w:rPr>
          <w:rFonts w:asciiTheme="majorHAnsi" w:hAnsiTheme="majorHAnsi"/>
        </w:rPr>
      </w:pPr>
      <w:r w:rsidRPr="00103AAF">
        <w:rPr>
          <w:rFonts w:asciiTheme="majorHAnsi" w:hAnsiTheme="majorHAnsi"/>
        </w:rPr>
        <w:t>4</w:t>
      </w:r>
      <w:r>
        <w:rPr>
          <w:rFonts w:asciiTheme="majorHAnsi" w:hAnsiTheme="majorHAnsi"/>
        </w:rPr>
        <w:t>69.524.381</w:t>
      </w:r>
      <w:r w:rsidRPr="00A141F0">
        <w:rPr>
          <w:rFonts w:asciiTheme="majorHAnsi" w:hAnsiTheme="majorHAnsi"/>
        </w:rPr>
        <w:t>€</w:t>
      </w:r>
      <w:r>
        <w:rPr>
          <w:rFonts w:asciiTheme="majorHAnsi" w:hAnsiTheme="majorHAnsi"/>
        </w:rPr>
        <w:t xml:space="preserve"> για </w:t>
      </w:r>
      <w:r w:rsidR="0043653B">
        <w:rPr>
          <w:rFonts w:asciiTheme="majorHAnsi" w:hAnsiTheme="majorHAnsi"/>
        </w:rPr>
        <w:t>νοσηλείες σε</w:t>
      </w:r>
      <w:r>
        <w:rPr>
          <w:rFonts w:asciiTheme="majorHAnsi" w:hAnsiTheme="majorHAnsi"/>
        </w:rPr>
        <w:t xml:space="preserve"> ιδιωτικ</w:t>
      </w:r>
      <w:r w:rsidR="0043653B">
        <w:rPr>
          <w:rFonts w:asciiTheme="majorHAnsi" w:hAnsiTheme="majorHAnsi"/>
        </w:rPr>
        <w:t>ές</w:t>
      </w:r>
      <w:r>
        <w:rPr>
          <w:rFonts w:asciiTheme="majorHAnsi" w:hAnsiTheme="majorHAnsi"/>
        </w:rPr>
        <w:t xml:space="preserve"> κλινικ</w:t>
      </w:r>
      <w:r w:rsidR="0043653B">
        <w:rPr>
          <w:rFonts w:asciiTheme="majorHAnsi" w:hAnsiTheme="majorHAnsi"/>
        </w:rPr>
        <w:t>ές</w:t>
      </w:r>
      <w:r>
        <w:rPr>
          <w:rStyle w:val="a7"/>
          <w:rFonts w:asciiTheme="majorHAnsi" w:hAnsiTheme="majorHAnsi"/>
        </w:rPr>
        <w:footnoteReference w:id="4"/>
      </w:r>
      <w:r>
        <w:rPr>
          <w:rFonts w:asciiTheme="majorHAnsi" w:hAnsiTheme="majorHAnsi"/>
        </w:rPr>
        <w:t xml:space="preserve"> </w:t>
      </w:r>
    </w:p>
    <w:p w14:paraId="5ADBDF60" w14:textId="77777777" w:rsidR="00E75CA4" w:rsidRPr="00827975" w:rsidRDefault="00E75CA4" w:rsidP="002D65ED">
      <w:pPr>
        <w:rPr>
          <w:rFonts w:asciiTheme="majorHAnsi" w:hAnsiTheme="majorHAnsi"/>
          <w:sz w:val="22"/>
          <w:u w:val="single"/>
          <w:lang w:val="el-GR"/>
        </w:rPr>
      </w:pPr>
    </w:p>
    <w:p w14:paraId="4015427D" w14:textId="735ADE23" w:rsidR="00E75CA4" w:rsidRPr="00F91B3D" w:rsidRDefault="00F91B3D" w:rsidP="00BF1E88">
      <w:pPr>
        <w:rPr>
          <w:rFonts w:asciiTheme="majorHAnsi" w:hAnsiTheme="majorHAnsi"/>
          <w:color w:val="365F91" w:themeColor="accent1" w:themeShade="BF"/>
          <w:sz w:val="22"/>
          <w:u w:val="single"/>
          <w:lang w:val="el-GR"/>
        </w:rPr>
      </w:pPr>
      <w:r w:rsidRPr="00F91B3D">
        <w:rPr>
          <w:rFonts w:asciiTheme="majorHAnsi" w:hAnsiTheme="majorHAnsi"/>
          <w:color w:val="365F91" w:themeColor="accent1" w:themeShade="BF"/>
          <w:sz w:val="22"/>
          <w:u w:val="single"/>
          <w:lang w:val="el-GR"/>
        </w:rPr>
        <w:t xml:space="preserve">Παροχές ασθενείας διακινούμενων ασφαλισμένων </w:t>
      </w:r>
    </w:p>
    <w:p w14:paraId="44CBAE77" w14:textId="77777777" w:rsidR="00F91B3D" w:rsidRPr="00F91B3D" w:rsidRDefault="00F91B3D" w:rsidP="00BF1E88">
      <w:pPr>
        <w:pStyle w:val="a3"/>
        <w:numPr>
          <w:ilvl w:val="0"/>
          <w:numId w:val="34"/>
        </w:numPr>
        <w:jc w:val="both"/>
        <w:rPr>
          <w:rFonts w:asciiTheme="majorHAnsi" w:hAnsiTheme="majorHAnsi"/>
        </w:rPr>
      </w:pPr>
      <w:r w:rsidRPr="00F91B3D">
        <w:rPr>
          <w:rFonts w:asciiTheme="majorHAnsi" w:hAnsiTheme="majorHAnsi"/>
        </w:rPr>
        <w:t xml:space="preserve">Για παροχές ασθενείας σε είδος σε διακινούμενους </w:t>
      </w:r>
      <w:r w:rsidRPr="00F91B3D">
        <w:rPr>
          <w:rFonts w:asciiTheme="majorHAnsi" w:hAnsiTheme="majorHAnsi"/>
          <w:snapToGrid w:val="0"/>
        </w:rPr>
        <w:t xml:space="preserve">ασφαλισμένους ευρωπαϊκών Φορέων Κοινωνικής Ασφάλισης στο έδαφος της Ελλάδας  </w:t>
      </w:r>
      <w:r w:rsidRPr="00F91B3D">
        <w:rPr>
          <w:rFonts w:asciiTheme="majorHAnsi" w:hAnsiTheme="majorHAnsi"/>
        </w:rPr>
        <w:t>κατ’ εφαρμογήν των Ευρωπαϊκών Κανονισμών, ο ΕΟΠΥΥ διεκδικεί 68.787.527,36€ έως την 31</w:t>
      </w:r>
      <w:r w:rsidRPr="00F91B3D">
        <w:rPr>
          <w:rFonts w:asciiTheme="majorHAnsi" w:hAnsiTheme="majorHAnsi"/>
          <w:vertAlign w:val="superscript"/>
        </w:rPr>
        <w:t>η</w:t>
      </w:r>
      <w:r w:rsidRPr="00F91B3D">
        <w:rPr>
          <w:rFonts w:asciiTheme="majorHAnsi" w:hAnsiTheme="majorHAnsi"/>
        </w:rPr>
        <w:t>/12/2014.</w:t>
      </w:r>
    </w:p>
    <w:p w14:paraId="54F0EEBC" w14:textId="40A5F749" w:rsidR="00F91B3D" w:rsidRPr="00F91B3D" w:rsidRDefault="00F91B3D" w:rsidP="00BF1E88">
      <w:pPr>
        <w:pStyle w:val="a3"/>
        <w:numPr>
          <w:ilvl w:val="0"/>
          <w:numId w:val="34"/>
        </w:numPr>
        <w:jc w:val="both"/>
        <w:rPr>
          <w:rFonts w:asciiTheme="majorHAnsi" w:hAnsiTheme="majorHAnsi"/>
        </w:rPr>
      </w:pPr>
      <w:r w:rsidRPr="00F91B3D">
        <w:rPr>
          <w:rFonts w:asciiTheme="majorHAnsi" w:hAnsiTheme="majorHAnsi"/>
        </w:rPr>
        <w:t xml:space="preserve">Αντίστοιχα, από 1/1/2014 έως 31/12/2014 έχει  αποπληρώσει συνολικές οφειλές για </w:t>
      </w:r>
      <w:r w:rsidRPr="00F91B3D">
        <w:rPr>
          <w:rFonts w:asciiTheme="majorHAnsi" w:hAnsiTheme="majorHAnsi"/>
          <w:snapToGrid w:val="0"/>
        </w:rPr>
        <w:t>παρασχεθείσες υπηρεσίες υγείας σε ασφαλισμένους ελληνικών Φορέων Κοινωνικής Ασφάλισης στο έδαφος των άλλων κρατών μελών λόγω προγραμματισμένης περίθαλψης ή λόγω έκτακτης και αναγκαίας περίθαλψης</w:t>
      </w:r>
      <w:r w:rsidRPr="00F91B3D">
        <w:rPr>
          <w:rFonts w:asciiTheme="majorHAnsi" w:hAnsiTheme="majorHAnsi"/>
        </w:rPr>
        <w:t xml:space="preserve"> κατ’ εφαρμογήν των Ευρωπαϊκών Κανονισμών συνολικού ποσού 8.051.702,67€.</w:t>
      </w:r>
    </w:p>
    <w:p w14:paraId="34000DE7" w14:textId="2C7286B1" w:rsidR="00F91B3D" w:rsidRPr="00F91B3D" w:rsidRDefault="00F91B3D" w:rsidP="00BF1E88">
      <w:pPr>
        <w:pStyle w:val="a3"/>
        <w:numPr>
          <w:ilvl w:val="0"/>
          <w:numId w:val="34"/>
        </w:numPr>
        <w:jc w:val="both"/>
        <w:rPr>
          <w:rFonts w:asciiTheme="majorHAnsi" w:hAnsiTheme="majorHAnsi"/>
        </w:rPr>
      </w:pPr>
      <w:r w:rsidRPr="00F91B3D">
        <w:rPr>
          <w:rFonts w:asciiTheme="majorHAnsi" w:hAnsiTheme="majorHAnsi"/>
        </w:rPr>
        <w:t>Ο αριθμός των ασφαλισμένων ΕΟΠΥΥ για τους οποίους εγκρίθηκε μετάβαση νοσηλείας στο εξωτερικό από την Διεύθυνση Διεθνών Ασφαλιστικών Σχέσεων ΕΟΠΥΥ είναι 372 (στοιχεία από το Τμήμα Προγραμματισμένης Περίθαλψης Ε.Ε.). Σχετικά στοιχεία πρέπει όμως να αντληθούν και από το ΙΚΑ-ΕΤΑΜ για ασφαλισμένους του ΙΚΑ-ΕΤΑΜ.</w:t>
      </w:r>
    </w:p>
    <w:p w14:paraId="6C7CDEEC" w14:textId="77777777" w:rsidR="00E75CA4" w:rsidRPr="00827975" w:rsidRDefault="00E75CA4" w:rsidP="00BF1E88">
      <w:pPr>
        <w:rPr>
          <w:rFonts w:asciiTheme="majorHAnsi" w:hAnsiTheme="majorHAnsi"/>
          <w:sz w:val="22"/>
          <w:u w:val="single"/>
          <w:lang w:val="el-GR"/>
        </w:rPr>
      </w:pPr>
    </w:p>
    <w:p w14:paraId="54DAB03A" w14:textId="77777777" w:rsidR="00164042" w:rsidRPr="00827975" w:rsidRDefault="00164042" w:rsidP="00BF1E88">
      <w:pPr>
        <w:ind w:left="360" w:firstLine="360"/>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 xml:space="preserve">Φάρμακο </w:t>
      </w:r>
    </w:p>
    <w:p w14:paraId="64A78E77" w14:textId="77777777" w:rsidR="00164042" w:rsidRPr="00827975" w:rsidRDefault="00164042" w:rsidP="00BF1E88">
      <w:pPr>
        <w:ind w:left="360"/>
        <w:rPr>
          <w:rFonts w:asciiTheme="majorHAnsi" w:hAnsiTheme="majorHAnsi"/>
          <w:color w:val="C0504D" w:themeColor="accent2"/>
          <w:sz w:val="22"/>
          <w:lang w:val="el-GR"/>
        </w:rPr>
      </w:pPr>
    </w:p>
    <w:p w14:paraId="7D94937B" w14:textId="76079602"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64.050.429 συνταγές ασφαλισμένων εκτελέστηκαν το 2014 έναντι 66.588.737  εκ. το 2013 (μείωση 4%)</w:t>
      </w:r>
      <w:r w:rsidR="00C14703">
        <w:rPr>
          <w:rStyle w:val="a7"/>
          <w:rFonts w:asciiTheme="majorHAnsi" w:hAnsiTheme="majorHAnsi"/>
          <w:sz w:val="22"/>
          <w:lang w:val="el-GR"/>
        </w:rPr>
        <w:footnoteReference w:id="5"/>
      </w:r>
      <w:r w:rsidR="00555DB5">
        <w:rPr>
          <w:rFonts w:asciiTheme="majorHAnsi" w:hAnsiTheme="majorHAnsi"/>
          <w:sz w:val="22"/>
          <w:lang w:val="el-GR"/>
        </w:rPr>
        <w:t>.</w:t>
      </w:r>
    </w:p>
    <w:p w14:paraId="47EAE0AD" w14:textId="4DE951E9"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182.851.172 εμβαλάγια (κουτιά φαρμάκων) συνταγογραφήθηκαν το 2014 έναντι 197.226.098 το 2013 (μείωση 7%)</w:t>
      </w:r>
      <w:r w:rsidR="00C14703">
        <w:rPr>
          <w:rStyle w:val="a7"/>
          <w:rFonts w:asciiTheme="majorHAnsi" w:hAnsiTheme="majorHAnsi"/>
          <w:sz w:val="22"/>
          <w:lang w:val="el-GR"/>
        </w:rPr>
        <w:footnoteReference w:id="6"/>
      </w:r>
      <w:r w:rsidRPr="00827975">
        <w:rPr>
          <w:rFonts w:asciiTheme="majorHAnsi" w:hAnsiTheme="majorHAnsi"/>
          <w:sz w:val="22"/>
          <w:lang w:val="el-GR"/>
        </w:rPr>
        <w:t>.</w:t>
      </w:r>
    </w:p>
    <w:p w14:paraId="18BA2497" w14:textId="2FE16146"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Δόθηκαν φάρμακα υψηλού κόστους από τα φαρμακεία του ΕΟΠΥΥ συνολικού κόστους  841.794.191€ (εκ των οποίων τα 206.417.099€ νοσοκομειακής χρήσης)</w:t>
      </w:r>
      <w:r w:rsidR="00555DB5">
        <w:rPr>
          <w:rFonts w:asciiTheme="majorHAnsi" w:hAnsiTheme="majorHAnsi"/>
          <w:sz w:val="22"/>
          <w:lang w:val="el-GR"/>
        </w:rPr>
        <w:t>.</w:t>
      </w:r>
    </w:p>
    <w:p w14:paraId="381A833B" w14:textId="77777777"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6629 ασφαλισμένοι έλαβαν την αναγκαία ιατροφαρμακευτική περίθαλψη σε περιστατικά υποβοηθούμενης αναπαραγωγής (εξωσωματική γονιμοποίηση).</w:t>
      </w:r>
    </w:p>
    <w:p w14:paraId="2789D67E" w14:textId="16A31BBF" w:rsidR="00E75CA4" w:rsidRPr="002D65ED" w:rsidRDefault="004A1662"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 xml:space="preserve">25.317 </w:t>
      </w:r>
      <w:r>
        <w:rPr>
          <w:rFonts w:asciiTheme="majorHAnsi" w:hAnsiTheme="majorHAnsi"/>
          <w:sz w:val="22"/>
          <w:lang w:val="el-GR"/>
        </w:rPr>
        <w:t>α</w:t>
      </w:r>
      <w:r w:rsidR="002201A6" w:rsidRPr="00827975">
        <w:rPr>
          <w:rFonts w:asciiTheme="majorHAnsi" w:hAnsiTheme="majorHAnsi"/>
          <w:sz w:val="22"/>
          <w:lang w:val="el-GR"/>
        </w:rPr>
        <w:t>νασφάλιστοι έλαβαν συνταγές αξίας 2.171.337,17€.</w:t>
      </w:r>
    </w:p>
    <w:p w14:paraId="11425E8F" w14:textId="5B27B6DC" w:rsidR="00504895" w:rsidRPr="00827975" w:rsidRDefault="00504895" w:rsidP="00827975">
      <w:pPr>
        <w:pStyle w:val="a4"/>
        <w:shd w:val="clear" w:color="auto" w:fill="DBE5F1" w:themeFill="accent1" w:themeFillTint="33"/>
        <w:spacing w:before="120" w:after="120" w:line="360" w:lineRule="auto"/>
        <w:rPr>
          <w:rFonts w:asciiTheme="majorHAnsi" w:hAnsiTheme="majorHAnsi"/>
          <w:b/>
          <w:color w:val="E36C0A" w:themeColor="accent6" w:themeShade="BF"/>
          <w:sz w:val="22"/>
          <w:lang w:val="el-GR"/>
        </w:rPr>
      </w:pPr>
      <w:r w:rsidRPr="00827975">
        <w:rPr>
          <w:rFonts w:asciiTheme="majorHAnsi" w:hAnsiTheme="majorHAnsi"/>
          <w:b/>
          <w:color w:val="E36C0A" w:themeColor="accent6" w:themeShade="BF"/>
          <w:sz w:val="22"/>
          <w:lang w:val="el-GR"/>
        </w:rPr>
        <w:lastRenderedPageBreak/>
        <w:t xml:space="preserve">Παροχές ΕΟΠΥΥ, </w:t>
      </w:r>
      <w:r w:rsidR="002201A6" w:rsidRPr="00827975">
        <w:rPr>
          <w:rFonts w:asciiTheme="majorHAnsi" w:hAnsiTheme="majorHAnsi"/>
          <w:b/>
          <w:color w:val="E36C0A" w:themeColor="accent6" w:themeShade="BF"/>
          <w:sz w:val="22"/>
          <w:lang w:val="el-GR"/>
        </w:rPr>
        <w:t xml:space="preserve">α’ εξάμηνο </w:t>
      </w:r>
      <w:r w:rsidRPr="00827975">
        <w:rPr>
          <w:rFonts w:asciiTheme="majorHAnsi" w:hAnsiTheme="majorHAnsi"/>
          <w:b/>
          <w:color w:val="E36C0A" w:themeColor="accent6" w:themeShade="BF"/>
          <w:sz w:val="22"/>
          <w:lang w:val="el-GR"/>
        </w:rPr>
        <w:t>2015</w:t>
      </w:r>
      <w:r w:rsidR="00C14703">
        <w:rPr>
          <w:rStyle w:val="a7"/>
          <w:rFonts w:asciiTheme="majorHAnsi" w:hAnsiTheme="majorHAnsi"/>
          <w:b/>
          <w:color w:val="E36C0A" w:themeColor="accent6" w:themeShade="BF"/>
          <w:sz w:val="22"/>
          <w:lang w:val="el-GR"/>
        </w:rPr>
        <w:footnoteReference w:id="7"/>
      </w:r>
    </w:p>
    <w:p w14:paraId="2779651E" w14:textId="77777777" w:rsidR="00827975" w:rsidRPr="00827975" w:rsidRDefault="00827975" w:rsidP="00827975">
      <w:pPr>
        <w:pStyle w:val="a4"/>
        <w:spacing w:before="120" w:after="120" w:line="360" w:lineRule="auto"/>
        <w:rPr>
          <w:rFonts w:asciiTheme="majorHAnsi" w:hAnsiTheme="majorHAnsi"/>
          <w:b/>
          <w:color w:val="E36C0A" w:themeColor="accent6" w:themeShade="BF"/>
          <w:sz w:val="22"/>
          <w:lang w:val="el-GR"/>
        </w:rPr>
      </w:pPr>
    </w:p>
    <w:p w14:paraId="18E62D7A" w14:textId="77777777" w:rsidR="00A141F0" w:rsidRPr="00A141F0" w:rsidRDefault="00A141F0" w:rsidP="00C14703">
      <w:pPr>
        <w:jc w:val="both"/>
        <w:rPr>
          <w:rFonts w:asciiTheme="majorHAnsi" w:hAnsiTheme="majorHAnsi"/>
          <w:color w:val="365F91" w:themeColor="accent1" w:themeShade="BF"/>
          <w:sz w:val="22"/>
          <w:u w:val="single"/>
          <w:lang w:val="el-GR"/>
        </w:rPr>
      </w:pPr>
      <w:r w:rsidRPr="00A141F0">
        <w:rPr>
          <w:rFonts w:asciiTheme="majorHAnsi" w:hAnsiTheme="majorHAnsi"/>
          <w:color w:val="365F91" w:themeColor="accent1" w:themeShade="BF"/>
          <w:sz w:val="22"/>
          <w:u w:val="single"/>
          <w:lang w:val="el-GR"/>
        </w:rPr>
        <w:t>Επισκέψεις &amp; Διαγνωστικές Εξετάσεις</w:t>
      </w:r>
    </w:p>
    <w:p w14:paraId="516B65F5" w14:textId="18CA5AEE" w:rsidR="00A141F0" w:rsidRPr="00A141F0" w:rsidRDefault="004A1662" w:rsidP="00C14703">
      <w:pPr>
        <w:pStyle w:val="a3"/>
        <w:numPr>
          <w:ilvl w:val="0"/>
          <w:numId w:val="35"/>
        </w:numPr>
        <w:ind w:left="709" w:hanging="425"/>
        <w:jc w:val="both"/>
        <w:rPr>
          <w:rFonts w:asciiTheme="majorHAnsi" w:hAnsiTheme="majorHAnsi"/>
        </w:rPr>
      </w:pPr>
      <w:r w:rsidRPr="004A1662">
        <w:rPr>
          <w:rFonts w:asciiTheme="majorHAnsi" w:hAnsiTheme="majorHAnsi"/>
        </w:rPr>
        <w:t>5</w:t>
      </w:r>
      <w:r>
        <w:rPr>
          <w:rFonts w:asciiTheme="majorHAnsi" w:hAnsiTheme="majorHAnsi"/>
        </w:rPr>
        <w:t>.</w:t>
      </w:r>
      <w:r w:rsidRPr="004A1662">
        <w:rPr>
          <w:rFonts w:asciiTheme="majorHAnsi" w:hAnsiTheme="majorHAnsi"/>
        </w:rPr>
        <w:t>639</w:t>
      </w:r>
      <w:r>
        <w:rPr>
          <w:rFonts w:asciiTheme="majorHAnsi" w:hAnsiTheme="majorHAnsi"/>
        </w:rPr>
        <w:t>.</w:t>
      </w:r>
      <w:r w:rsidRPr="004A1662">
        <w:rPr>
          <w:rFonts w:asciiTheme="majorHAnsi" w:hAnsiTheme="majorHAnsi"/>
        </w:rPr>
        <w:t>003</w:t>
      </w:r>
      <w:r>
        <w:rPr>
          <w:rFonts w:asciiTheme="majorHAnsi" w:hAnsiTheme="majorHAnsi"/>
        </w:rPr>
        <w:t xml:space="preserve"> </w:t>
      </w:r>
      <w:r w:rsidR="00A141F0" w:rsidRPr="00A141F0">
        <w:rPr>
          <w:rFonts w:asciiTheme="majorHAnsi" w:hAnsiTheme="majorHAnsi"/>
        </w:rPr>
        <w:t xml:space="preserve">επισκέψεις σε συμβεβλημένους ιατρούς, κόστους </w:t>
      </w:r>
      <w:r w:rsidRPr="004A1662">
        <w:rPr>
          <w:rFonts w:asciiTheme="majorHAnsi" w:hAnsiTheme="majorHAnsi"/>
        </w:rPr>
        <w:t>56</w:t>
      </w:r>
      <w:r>
        <w:rPr>
          <w:rFonts w:asciiTheme="majorHAnsi" w:hAnsiTheme="majorHAnsi"/>
        </w:rPr>
        <w:t>.</w:t>
      </w:r>
      <w:r w:rsidRPr="004A1662">
        <w:rPr>
          <w:rFonts w:asciiTheme="majorHAnsi" w:hAnsiTheme="majorHAnsi"/>
        </w:rPr>
        <w:t>390</w:t>
      </w:r>
      <w:r>
        <w:rPr>
          <w:rFonts w:asciiTheme="majorHAnsi" w:hAnsiTheme="majorHAnsi"/>
        </w:rPr>
        <w:t>.</w:t>
      </w:r>
      <w:r w:rsidRPr="004A1662">
        <w:rPr>
          <w:rFonts w:asciiTheme="majorHAnsi" w:hAnsiTheme="majorHAnsi"/>
        </w:rPr>
        <w:t>030</w:t>
      </w:r>
      <w:r w:rsidRPr="00A141F0">
        <w:rPr>
          <w:rFonts w:asciiTheme="majorHAnsi" w:hAnsiTheme="majorHAnsi"/>
        </w:rPr>
        <w:t>€</w:t>
      </w:r>
    </w:p>
    <w:p w14:paraId="2033412C" w14:textId="1048B102" w:rsidR="00A141F0" w:rsidRPr="00A141F0" w:rsidRDefault="004A1662" w:rsidP="00C14703">
      <w:pPr>
        <w:pStyle w:val="a3"/>
        <w:numPr>
          <w:ilvl w:val="0"/>
          <w:numId w:val="35"/>
        </w:numPr>
        <w:ind w:left="709" w:hanging="425"/>
        <w:jc w:val="both"/>
        <w:rPr>
          <w:rFonts w:asciiTheme="majorHAnsi" w:hAnsiTheme="majorHAnsi"/>
        </w:rPr>
      </w:pPr>
      <w:r w:rsidRPr="004A1662">
        <w:rPr>
          <w:rFonts w:asciiTheme="majorHAnsi" w:hAnsiTheme="majorHAnsi"/>
        </w:rPr>
        <w:t>56</w:t>
      </w:r>
      <w:r>
        <w:rPr>
          <w:rFonts w:asciiTheme="majorHAnsi" w:hAnsiTheme="majorHAnsi"/>
        </w:rPr>
        <w:t>.</w:t>
      </w:r>
      <w:r w:rsidRPr="004A1662">
        <w:rPr>
          <w:rFonts w:asciiTheme="majorHAnsi" w:hAnsiTheme="majorHAnsi"/>
        </w:rPr>
        <w:t>878</w:t>
      </w:r>
      <w:r>
        <w:rPr>
          <w:rFonts w:asciiTheme="majorHAnsi" w:hAnsiTheme="majorHAnsi"/>
        </w:rPr>
        <w:t>.</w:t>
      </w:r>
      <w:r w:rsidRPr="004A1662">
        <w:rPr>
          <w:rFonts w:asciiTheme="majorHAnsi" w:hAnsiTheme="majorHAnsi"/>
        </w:rPr>
        <w:t>621</w:t>
      </w:r>
      <w:r>
        <w:rPr>
          <w:rFonts w:asciiTheme="majorHAnsi" w:hAnsiTheme="majorHAnsi"/>
        </w:rPr>
        <w:t xml:space="preserve"> </w:t>
      </w:r>
      <w:r w:rsidR="00A141F0" w:rsidRPr="00A141F0">
        <w:rPr>
          <w:rFonts w:asciiTheme="majorHAnsi" w:hAnsiTheme="majorHAnsi"/>
        </w:rPr>
        <w:t xml:space="preserve">παραπεμπτικά, κόστους </w:t>
      </w:r>
      <w:r w:rsidRPr="004A1662">
        <w:rPr>
          <w:rFonts w:asciiTheme="majorHAnsi" w:hAnsiTheme="majorHAnsi"/>
        </w:rPr>
        <w:t>447</w:t>
      </w:r>
      <w:r>
        <w:rPr>
          <w:rFonts w:asciiTheme="majorHAnsi" w:hAnsiTheme="majorHAnsi"/>
        </w:rPr>
        <w:t>.</w:t>
      </w:r>
      <w:r w:rsidRPr="004A1662">
        <w:rPr>
          <w:rFonts w:asciiTheme="majorHAnsi" w:hAnsiTheme="majorHAnsi"/>
        </w:rPr>
        <w:t>870</w:t>
      </w:r>
      <w:r>
        <w:rPr>
          <w:rFonts w:asciiTheme="majorHAnsi" w:hAnsiTheme="majorHAnsi"/>
        </w:rPr>
        <w:t>.</w:t>
      </w:r>
      <w:r w:rsidRPr="004A1662">
        <w:rPr>
          <w:rFonts w:asciiTheme="majorHAnsi" w:hAnsiTheme="majorHAnsi"/>
        </w:rPr>
        <w:t>870</w:t>
      </w:r>
      <w:r w:rsidR="00A141F0" w:rsidRPr="00A141F0">
        <w:rPr>
          <w:rFonts w:asciiTheme="majorHAnsi" w:hAnsiTheme="majorHAnsi"/>
        </w:rPr>
        <w:t>€</w:t>
      </w:r>
    </w:p>
    <w:p w14:paraId="6957EE4D" w14:textId="186293BC" w:rsidR="00A141F0" w:rsidRPr="00A141F0" w:rsidRDefault="004A1662" w:rsidP="00C14703">
      <w:pPr>
        <w:pStyle w:val="a3"/>
        <w:numPr>
          <w:ilvl w:val="0"/>
          <w:numId w:val="35"/>
        </w:numPr>
        <w:ind w:left="709" w:hanging="425"/>
        <w:jc w:val="both"/>
        <w:rPr>
          <w:rFonts w:asciiTheme="majorHAnsi" w:hAnsiTheme="majorHAnsi"/>
        </w:rPr>
      </w:pPr>
      <w:r w:rsidRPr="004A1662">
        <w:rPr>
          <w:rFonts w:asciiTheme="majorHAnsi" w:hAnsiTheme="majorHAnsi"/>
        </w:rPr>
        <w:t>493</w:t>
      </w:r>
      <w:r>
        <w:rPr>
          <w:rFonts w:asciiTheme="majorHAnsi" w:hAnsiTheme="majorHAnsi"/>
        </w:rPr>
        <w:t>.</w:t>
      </w:r>
      <w:r w:rsidRPr="004A1662">
        <w:rPr>
          <w:rFonts w:asciiTheme="majorHAnsi" w:hAnsiTheme="majorHAnsi"/>
        </w:rPr>
        <w:t>703</w:t>
      </w:r>
      <w:r>
        <w:rPr>
          <w:rFonts w:asciiTheme="majorHAnsi" w:hAnsiTheme="majorHAnsi"/>
        </w:rPr>
        <w:t xml:space="preserve"> </w:t>
      </w:r>
      <w:r w:rsidR="00A141F0" w:rsidRPr="00A141F0">
        <w:rPr>
          <w:rFonts w:asciiTheme="majorHAnsi" w:hAnsiTheme="majorHAnsi"/>
        </w:rPr>
        <w:t>αξονικές τομογραφίες</w:t>
      </w:r>
      <w:r w:rsidR="00A141F0" w:rsidRPr="00A141F0">
        <w:rPr>
          <w:rFonts w:asciiTheme="majorHAnsi" w:hAnsiTheme="majorHAnsi"/>
          <w:shd w:val="clear" w:color="auto" w:fill="FFFFFF" w:themeFill="background1"/>
        </w:rPr>
        <w:t xml:space="preserve">, κόστους </w:t>
      </w:r>
      <w:r w:rsidRPr="004A1662">
        <w:rPr>
          <w:rFonts w:asciiTheme="majorHAnsi" w:hAnsiTheme="majorHAnsi"/>
        </w:rPr>
        <w:t>25</w:t>
      </w:r>
      <w:r>
        <w:rPr>
          <w:rFonts w:asciiTheme="majorHAnsi" w:hAnsiTheme="majorHAnsi"/>
        </w:rPr>
        <w:t>.</w:t>
      </w:r>
      <w:r w:rsidRPr="004A1662">
        <w:rPr>
          <w:rFonts w:asciiTheme="majorHAnsi" w:hAnsiTheme="majorHAnsi"/>
        </w:rPr>
        <w:t>233</w:t>
      </w:r>
      <w:r>
        <w:rPr>
          <w:rFonts w:asciiTheme="majorHAnsi" w:hAnsiTheme="majorHAnsi"/>
        </w:rPr>
        <w:t>.</w:t>
      </w:r>
      <w:r w:rsidRPr="004A1662">
        <w:rPr>
          <w:rFonts w:asciiTheme="majorHAnsi" w:hAnsiTheme="majorHAnsi"/>
        </w:rPr>
        <w:t>450</w:t>
      </w:r>
      <w:r w:rsidRPr="00A141F0">
        <w:rPr>
          <w:rFonts w:asciiTheme="majorHAnsi" w:hAnsiTheme="majorHAnsi"/>
        </w:rPr>
        <w:t>€</w:t>
      </w:r>
    </w:p>
    <w:p w14:paraId="6D5DFE73" w14:textId="7216F14F" w:rsidR="00A141F0" w:rsidRPr="00A141F0" w:rsidRDefault="004A1662" w:rsidP="00C14703">
      <w:pPr>
        <w:pStyle w:val="a3"/>
        <w:numPr>
          <w:ilvl w:val="0"/>
          <w:numId w:val="35"/>
        </w:numPr>
        <w:ind w:left="709" w:hanging="425"/>
        <w:jc w:val="both"/>
        <w:rPr>
          <w:rFonts w:asciiTheme="majorHAnsi" w:hAnsiTheme="majorHAnsi"/>
        </w:rPr>
      </w:pPr>
      <w:r w:rsidRPr="004A1662">
        <w:rPr>
          <w:rFonts w:asciiTheme="majorHAnsi" w:hAnsiTheme="majorHAnsi"/>
        </w:rPr>
        <w:t>299</w:t>
      </w:r>
      <w:r>
        <w:rPr>
          <w:rFonts w:asciiTheme="majorHAnsi" w:hAnsiTheme="majorHAnsi"/>
        </w:rPr>
        <w:t>.</w:t>
      </w:r>
      <w:r w:rsidRPr="004A1662">
        <w:rPr>
          <w:rFonts w:asciiTheme="majorHAnsi" w:hAnsiTheme="majorHAnsi"/>
        </w:rPr>
        <w:t>542</w:t>
      </w:r>
      <w:r w:rsidR="00A141F0" w:rsidRPr="00A141F0">
        <w:rPr>
          <w:rFonts w:asciiTheme="majorHAnsi" w:hAnsiTheme="majorHAnsi"/>
        </w:rPr>
        <w:t xml:space="preserve">μαγνητικές τομογραφίες, κόστους </w:t>
      </w:r>
      <w:r w:rsidRPr="004A1662">
        <w:rPr>
          <w:rFonts w:asciiTheme="majorHAnsi" w:hAnsiTheme="majorHAnsi"/>
        </w:rPr>
        <w:t>47</w:t>
      </w:r>
      <w:r>
        <w:rPr>
          <w:rFonts w:asciiTheme="majorHAnsi" w:hAnsiTheme="majorHAnsi"/>
        </w:rPr>
        <w:t>.</w:t>
      </w:r>
      <w:r w:rsidRPr="004A1662">
        <w:rPr>
          <w:rFonts w:asciiTheme="majorHAnsi" w:hAnsiTheme="majorHAnsi"/>
        </w:rPr>
        <w:t>769</w:t>
      </w:r>
      <w:r>
        <w:rPr>
          <w:rFonts w:asciiTheme="majorHAnsi" w:hAnsiTheme="majorHAnsi"/>
        </w:rPr>
        <w:t>.</w:t>
      </w:r>
      <w:r w:rsidRPr="004A1662">
        <w:rPr>
          <w:rFonts w:asciiTheme="majorHAnsi" w:hAnsiTheme="majorHAnsi"/>
        </w:rPr>
        <w:t>489</w:t>
      </w:r>
      <w:r w:rsidR="00A141F0" w:rsidRPr="00A141F0">
        <w:rPr>
          <w:rFonts w:asciiTheme="majorHAnsi" w:hAnsiTheme="majorHAnsi"/>
        </w:rPr>
        <w:t>€</w:t>
      </w:r>
    </w:p>
    <w:p w14:paraId="49F772FE" w14:textId="56FF6A62" w:rsidR="00A141F0" w:rsidRPr="00A141F0" w:rsidRDefault="004A1662" w:rsidP="00C14703">
      <w:pPr>
        <w:pStyle w:val="a3"/>
        <w:numPr>
          <w:ilvl w:val="0"/>
          <w:numId w:val="35"/>
        </w:numPr>
        <w:ind w:left="709" w:hanging="425"/>
        <w:jc w:val="both"/>
        <w:rPr>
          <w:rFonts w:asciiTheme="majorHAnsi" w:hAnsiTheme="majorHAnsi"/>
        </w:rPr>
      </w:pPr>
      <w:r w:rsidRPr="004A1662">
        <w:rPr>
          <w:rFonts w:asciiTheme="majorHAnsi" w:hAnsiTheme="majorHAnsi"/>
        </w:rPr>
        <w:t>487</w:t>
      </w:r>
      <w:r>
        <w:rPr>
          <w:rFonts w:asciiTheme="majorHAnsi" w:hAnsiTheme="majorHAnsi"/>
        </w:rPr>
        <w:t>.</w:t>
      </w:r>
      <w:r w:rsidRPr="004A1662">
        <w:rPr>
          <w:rFonts w:asciiTheme="majorHAnsi" w:hAnsiTheme="majorHAnsi"/>
        </w:rPr>
        <w:t>401</w:t>
      </w:r>
      <w:r w:rsidR="00C14703">
        <w:rPr>
          <w:rFonts w:asciiTheme="majorHAnsi" w:hAnsiTheme="majorHAnsi"/>
          <w:lang w:val="en-US"/>
        </w:rPr>
        <w:t xml:space="preserve"> </w:t>
      </w:r>
      <w:proofErr w:type="spellStart"/>
      <w:r w:rsidR="00A141F0" w:rsidRPr="00A141F0">
        <w:rPr>
          <w:rFonts w:asciiTheme="majorHAnsi" w:hAnsiTheme="majorHAnsi"/>
        </w:rPr>
        <w:t>triplex</w:t>
      </w:r>
      <w:proofErr w:type="spellEnd"/>
      <w:r w:rsidR="00C14703" w:rsidRPr="00C14703">
        <w:rPr>
          <w:rStyle w:val="a7"/>
          <w:rFonts w:asciiTheme="majorHAnsi" w:hAnsiTheme="majorHAnsi"/>
        </w:rPr>
        <w:footnoteReference w:id="8"/>
      </w:r>
      <w:r w:rsidR="00A141F0" w:rsidRPr="00A141F0">
        <w:rPr>
          <w:rFonts w:asciiTheme="majorHAnsi" w:hAnsiTheme="majorHAnsi"/>
        </w:rPr>
        <w:t xml:space="preserve">, κόστους </w:t>
      </w:r>
      <w:r w:rsidRPr="004A1662">
        <w:rPr>
          <w:rFonts w:asciiTheme="majorHAnsi" w:hAnsiTheme="majorHAnsi"/>
        </w:rPr>
        <w:t>22</w:t>
      </w:r>
      <w:r>
        <w:rPr>
          <w:rFonts w:asciiTheme="majorHAnsi" w:hAnsiTheme="majorHAnsi"/>
        </w:rPr>
        <w:t>.</w:t>
      </w:r>
      <w:r w:rsidRPr="004A1662">
        <w:rPr>
          <w:rFonts w:asciiTheme="majorHAnsi" w:hAnsiTheme="majorHAnsi"/>
        </w:rPr>
        <w:t>108</w:t>
      </w:r>
      <w:r>
        <w:rPr>
          <w:rFonts w:asciiTheme="majorHAnsi" w:hAnsiTheme="majorHAnsi"/>
        </w:rPr>
        <w:t>.</w:t>
      </w:r>
      <w:r w:rsidRPr="004A1662">
        <w:rPr>
          <w:rFonts w:asciiTheme="majorHAnsi" w:hAnsiTheme="majorHAnsi"/>
        </w:rPr>
        <w:t>506</w:t>
      </w:r>
      <w:r w:rsidR="00A141F0" w:rsidRPr="00A141F0">
        <w:rPr>
          <w:rFonts w:asciiTheme="majorHAnsi" w:hAnsiTheme="majorHAnsi"/>
        </w:rPr>
        <w:t>€</w:t>
      </w:r>
    </w:p>
    <w:p w14:paraId="350365CC" w14:textId="20A57DD0" w:rsidR="00A141F0" w:rsidRDefault="004A1662" w:rsidP="00C14703">
      <w:pPr>
        <w:pStyle w:val="a3"/>
        <w:numPr>
          <w:ilvl w:val="0"/>
          <w:numId w:val="35"/>
        </w:numPr>
        <w:ind w:left="709" w:hanging="425"/>
        <w:jc w:val="both"/>
        <w:rPr>
          <w:rFonts w:asciiTheme="majorHAnsi" w:hAnsiTheme="majorHAnsi"/>
        </w:rPr>
      </w:pPr>
      <w:r w:rsidRPr="004A1662">
        <w:rPr>
          <w:rFonts w:asciiTheme="majorHAnsi" w:hAnsiTheme="majorHAnsi"/>
        </w:rPr>
        <w:t>1</w:t>
      </w:r>
      <w:r>
        <w:rPr>
          <w:rFonts w:asciiTheme="majorHAnsi" w:hAnsiTheme="majorHAnsi"/>
        </w:rPr>
        <w:t>.</w:t>
      </w:r>
      <w:r w:rsidRPr="004A1662">
        <w:rPr>
          <w:rFonts w:asciiTheme="majorHAnsi" w:hAnsiTheme="majorHAnsi"/>
        </w:rPr>
        <w:t>643</w:t>
      </w:r>
      <w:r>
        <w:rPr>
          <w:rFonts w:asciiTheme="majorHAnsi" w:hAnsiTheme="majorHAnsi"/>
        </w:rPr>
        <w:t>.</w:t>
      </w:r>
      <w:r w:rsidRPr="004A1662">
        <w:rPr>
          <w:rFonts w:asciiTheme="majorHAnsi" w:hAnsiTheme="majorHAnsi"/>
        </w:rPr>
        <w:t>551</w:t>
      </w:r>
      <w:r>
        <w:rPr>
          <w:rFonts w:asciiTheme="majorHAnsi" w:hAnsiTheme="majorHAnsi"/>
        </w:rPr>
        <w:t xml:space="preserve"> </w:t>
      </w:r>
      <w:r w:rsidR="00A141F0" w:rsidRPr="00A141F0">
        <w:rPr>
          <w:rFonts w:asciiTheme="majorHAnsi" w:hAnsiTheme="majorHAnsi"/>
        </w:rPr>
        <w:t xml:space="preserve">υπέρηχοι, κόστους </w:t>
      </w:r>
      <w:r w:rsidRPr="004A1662">
        <w:rPr>
          <w:rFonts w:asciiTheme="majorHAnsi" w:hAnsiTheme="majorHAnsi"/>
        </w:rPr>
        <w:t>33</w:t>
      </w:r>
      <w:r>
        <w:rPr>
          <w:rFonts w:asciiTheme="majorHAnsi" w:hAnsiTheme="majorHAnsi"/>
        </w:rPr>
        <w:t>.</w:t>
      </w:r>
      <w:r w:rsidRPr="004A1662">
        <w:rPr>
          <w:rFonts w:asciiTheme="majorHAnsi" w:hAnsiTheme="majorHAnsi"/>
        </w:rPr>
        <w:t>930</w:t>
      </w:r>
      <w:r>
        <w:rPr>
          <w:rFonts w:asciiTheme="majorHAnsi" w:hAnsiTheme="majorHAnsi"/>
        </w:rPr>
        <w:t>.</w:t>
      </w:r>
      <w:r w:rsidRPr="004A1662">
        <w:rPr>
          <w:rFonts w:asciiTheme="majorHAnsi" w:hAnsiTheme="majorHAnsi"/>
        </w:rPr>
        <w:t>746</w:t>
      </w:r>
      <w:r w:rsidR="00A141F0" w:rsidRPr="00A141F0">
        <w:rPr>
          <w:rFonts w:asciiTheme="majorHAnsi" w:hAnsiTheme="majorHAnsi"/>
        </w:rPr>
        <w:t>€</w:t>
      </w:r>
    </w:p>
    <w:p w14:paraId="0E05B2ED" w14:textId="77777777" w:rsidR="002D65ED" w:rsidRPr="00A141F0" w:rsidRDefault="002D65ED" w:rsidP="002D65ED">
      <w:pPr>
        <w:pStyle w:val="a3"/>
        <w:ind w:left="709"/>
        <w:jc w:val="both"/>
        <w:rPr>
          <w:rFonts w:asciiTheme="majorHAnsi" w:hAnsiTheme="majorHAnsi"/>
        </w:rPr>
      </w:pPr>
    </w:p>
    <w:p w14:paraId="7728E9AA" w14:textId="77777777" w:rsidR="00827975" w:rsidRPr="00827975" w:rsidRDefault="00827975" w:rsidP="00BF1E88">
      <w:pPr>
        <w:pStyle w:val="a4"/>
        <w:spacing w:after="0"/>
        <w:jc w:val="both"/>
        <w:rPr>
          <w:rFonts w:asciiTheme="majorHAnsi" w:hAnsiTheme="majorHAnsi"/>
          <w:b/>
          <w:color w:val="E36C0A" w:themeColor="accent6" w:themeShade="BF"/>
          <w:sz w:val="22"/>
          <w:lang w:val="el-GR"/>
        </w:rPr>
      </w:pPr>
    </w:p>
    <w:p w14:paraId="78BD4975" w14:textId="77777777" w:rsidR="00BF1E88" w:rsidRPr="002E6C34" w:rsidRDefault="00BF1E88" w:rsidP="00BF1E88">
      <w:pPr>
        <w:jc w:val="both"/>
        <w:rPr>
          <w:rFonts w:asciiTheme="majorHAnsi" w:hAnsiTheme="majorHAnsi"/>
          <w:color w:val="365F91" w:themeColor="accent1" w:themeShade="BF"/>
          <w:sz w:val="22"/>
          <w:u w:val="single"/>
          <w:lang w:val="el-GR"/>
        </w:rPr>
      </w:pPr>
      <w:r w:rsidRPr="002E6C34">
        <w:rPr>
          <w:rFonts w:asciiTheme="majorHAnsi" w:hAnsiTheme="majorHAnsi"/>
          <w:color w:val="365F91" w:themeColor="accent1" w:themeShade="BF"/>
          <w:sz w:val="22"/>
          <w:u w:val="single"/>
          <w:lang w:val="el-GR"/>
        </w:rPr>
        <w:t>Κλειστή Περίθαλψη</w:t>
      </w:r>
    </w:p>
    <w:p w14:paraId="779920AE" w14:textId="77777777" w:rsidR="00827975" w:rsidRPr="00827975" w:rsidRDefault="00827975" w:rsidP="00BF1E88">
      <w:pPr>
        <w:pStyle w:val="a4"/>
        <w:spacing w:after="0"/>
        <w:jc w:val="both"/>
        <w:rPr>
          <w:rFonts w:asciiTheme="majorHAnsi" w:hAnsiTheme="majorHAnsi"/>
          <w:b/>
          <w:color w:val="E36C0A" w:themeColor="accent6" w:themeShade="BF"/>
          <w:sz w:val="22"/>
          <w:lang w:val="el-GR"/>
        </w:rPr>
      </w:pPr>
    </w:p>
    <w:p w14:paraId="4887B237" w14:textId="77777777" w:rsidR="00827975" w:rsidRDefault="00827975" w:rsidP="002D65ED">
      <w:pPr>
        <w:pStyle w:val="a4"/>
        <w:spacing w:after="0"/>
        <w:jc w:val="both"/>
        <w:rPr>
          <w:rFonts w:asciiTheme="majorHAnsi" w:hAnsiTheme="majorHAnsi"/>
          <w:b/>
          <w:color w:val="E36C0A" w:themeColor="accent6" w:themeShade="BF"/>
          <w:sz w:val="22"/>
          <w:lang w:val="el-GR"/>
        </w:rPr>
      </w:pPr>
    </w:p>
    <w:p w14:paraId="1F9B9A0A" w14:textId="45EE2C5B" w:rsidR="002D65ED" w:rsidRPr="002D65ED" w:rsidRDefault="002D65ED" w:rsidP="002D65ED">
      <w:pPr>
        <w:pStyle w:val="a3"/>
        <w:numPr>
          <w:ilvl w:val="0"/>
          <w:numId w:val="39"/>
        </w:numPr>
        <w:jc w:val="both"/>
        <w:rPr>
          <w:rFonts w:ascii="Calibri" w:eastAsia="Times New Roman" w:hAnsi="Calibri" w:cs="Times New Roman"/>
          <w:color w:val="000000"/>
          <w:lang w:eastAsia="el-GR"/>
        </w:rPr>
      </w:pPr>
      <w:r w:rsidRPr="002D65ED">
        <w:rPr>
          <w:rFonts w:ascii="Calibri" w:eastAsia="Times New Roman" w:hAnsi="Calibri" w:cs="Times New Roman"/>
          <w:color w:val="000000"/>
          <w:lang w:eastAsia="el-GR"/>
        </w:rPr>
        <w:t>679</w:t>
      </w:r>
      <w:r w:rsidR="0043653B">
        <w:rPr>
          <w:rFonts w:ascii="Calibri" w:eastAsia="Times New Roman" w:hAnsi="Calibri" w:cs="Times New Roman"/>
          <w:color w:val="000000"/>
          <w:lang w:eastAsia="el-GR"/>
        </w:rPr>
        <w:t>.</w:t>
      </w:r>
      <w:r w:rsidRPr="002D65ED">
        <w:rPr>
          <w:rFonts w:ascii="Calibri" w:eastAsia="Times New Roman" w:hAnsi="Calibri" w:cs="Times New Roman"/>
          <w:color w:val="000000"/>
          <w:lang w:eastAsia="el-GR"/>
        </w:rPr>
        <w:t>673</w:t>
      </w:r>
      <w:r w:rsidR="0043653B">
        <w:rPr>
          <w:rFonts w:ascii="Calibri" w:eastAsia="Times New Roman" w:hAnsi="Calibri" w:cs="Times New Roman"/>
          <w:color w:val="000000"/>
          <w:lang w:eastAsia="el-GR"/>
        </w:rPr>
        <w:t>.</w:t>
      </w:r>
      <w:r w:rsidRPr="002D65ED">
        <w:rPr>
          <w:rFonts w:ascii="Calibri" w:eastAsia="Times New Roman" w:hAnsi="Calibri" w:cs="Times New Roman"/>
          <w:color w:val="000000"/>
          <w:lang w:eastAsia="el-GR"/>
        </w:rPr>
        <w:t>807</w:t>
      </w:r>
      <w:r w:rsidRPr="002D65ED">
        <w:rPr>
          <w:rFonts w:asciiTheme="majorHAnsi" w:hAnsiTheme="majorHAnsi"/>
        </w:rPr>
        <w:t>€ για νοσηλείες σε δημόσια νοσοκομεία</w:t>
      </w:r>
      <w:r>
        <w:rPr>
          <w:rStyle w:val="a7"/>
          <w:rFonts w:asciiTheme="majorHAnsi" w:hAnsiTheme="majorHAnsi"/>
        </w:rPr>
        <w:footnoteReference w:id="9"/>
      </w:r>
      <w:r>
        <w:rPr>
          <w:rFonts w:asciiTheme="majorHAnsi" w:hAnsiTheme="majorHAnsi"/>
        </w:rPr>
        <w:t>,</w:t>
      </w:r>
      <w:r>
        <w:rPr>
          <w:rStyle w:val="a7"/>
          <w:rFonts w:asciiTheme="majorHAnsi" w:hAnsiTheme="majorHAnsi"/>
        </w:rPr>
        <w:footnoteReference w:id="10"/>
      </w:r>
    </w:p>
    <w:p w14:paraId="463F3D73" w14:textId="5B373BF6" w:rsidR="00103AAF" w:rsidRPr="00103AAF" w:rsidRDefault="00103AAF" w:rsidP="002D65ED">
      <w:pPr>
        <w:pStyle w:val="a3"/>
        <w:numPr>
          <w:ilvl w:val="0"/>
          <w:numId w:val="38"/>
        </w:numPr>
        <w:rPr>
          <w:rFonts w:asciiTheme="majorHAnsi" w:hAnsiTheme="majorHAnsi"/>
        </w:rPr>
      </w:pPr>
      <w:r>
        <w:rPr>
          <w:rFonts w:asciiTheme="majorHAnsi" w:hAnsiTheme="majorHAnsi"/>
        </w:rPr>
        <w:t>369.269.013</w:t>
      </w:r>
      <w:r w:rsidRPr="00A141F0">
        <w:rPr>
          <w:rFonts w:asciiTheme="majorHAnsi" w:hAnsiTheme="majorHAnsi"/>
        </w:rPr>
        <w:t>€</w:t>
      </w:r>
      <w:r>
        <w:rPr>
          <w:rFonts w:asciiTheme="majorHAnsi" w:hAnsiTheme="majorHAnsi"/>
        </w:rPr>
        <w:t xml:space="preserve"> για νοσ</w:t>
      </w:r>
      <w:r w:rsidR="002D65ED">
        <w:rPr>
          <w:rFonts w:asciiTheme="majorHAnsi" w:hAnsiTheme="majorHAnsi"/>
        </w:rPr>
        <w:t>ηλείες σε</w:t>
      </w:r>
      <w:r>
        <w:rPr>
          <w:rFonts w:asciiTheme="majorHAnsi" w:hAnsiTheme="majorHAnsi"/>
        </w:rPr>
        <w:t xml:space="preserve"> ιδιωτικ</w:t>
      </w:r>
      <w:r w:rsidR="002D65ED">
        <w:rPr>
          <w:rFonts w:asciiTheme="majorHAnsi" w:hAnsiTheme="majorHAnsi"/>
        </w:rPr>
        <w:t>ές</w:t>
      </w:r>
      <w:r>
        <w:rPr>
          <w:rFonts w:asciiTheme="majorHAnsi" w:hAnsiTheme="majorHAnsi"/>
        </w:rPr>
        <w:t xml:space="preserve"> κλινικ</w:t>
      </w:r>
      <w:r w:rsidR="002D65ED">
        <w:rPr>
          <w:rFonts w:asciiTheme="majorHAnsi" w:hAnsiTheme="majorHAnsi"/>
        </w:rPr>
        <w:t>ές</w:t>
      </w:r>
      <w:r>
        <w:rPr>
          <w:rStyle w:val="a7"/>
          <w:rFonts w:asciiTheme="majorHAnsi" w:hAnsiTheme="majorHAnsi"/>
        </w:rPr>
        <w:footnoteReference w:id="11"/>
      </w:r>
      <w:r>
        <w:rPr>
          <w:rFonts w:asciiTheme="majorHAnsi" w:hAnsiTheme="majorHAnsi"/>
        </w:rPr>
        <w:t xml:space="preserve"> </w:t>
      </w:r>
    </w:p>
    <w:p w14:paraId="00EC5C81" w14:textId="77777777" w:rsidR="00BF1E88" w:rsidRDefault="00BF1E88" w:rsidP="00BF1E88">
      <w:pPr>
        <w:pStyle w:val="a4"/>
        <w:spacing w:after="0"/>
        <w:jc w:val="both"/>
        <w:rPr>
          <w:rFonts w:asciiTheme="majorHAnsi" w:hAnsiTheme="majorHAnsi"/>
          <w:b/>
          <w:color w:val="E36C0A" w:themeColor="accent6" w:themeShade="BF"/>
          <w:sz w:val="22"/>
          <w:lang w:val="el-GR"/>
        </w:rPr>
      </w:pPr>
    </w:p>
    <w:p w14:paraId="0187EEB9" w14:textId="02557B4E" w:rsidR="00827975" w:rsidRPr="002D65ED" w:rsidRDefault="00827975" w:rsidP="002D65ED">
      <w:pPr>
        <w:rPr>
          <w:rFonts w:asciiTheme="majorHAnsi" w:hAnsiTheme="majorHAnsi"/>
          <w:color w:val="365F91" w:themeColor="accent1" w:themeShade="BF"/>
          <w:sz w:val="22"/>
          <w:u w:val="single"/>
          <w:lang w:val="el-GR"/>
        </w:rPr>
      </w:pPr>
    </w:p>
    <w:p w14:paraId="226AFBCE" w14:textId="3BEBFD70" w:rsidR="00E75CA4" w:rsidRPr="00827975" w:rsidRDefault="00E75CA4" w:rsidP="00BF1E88">
      <w:pPr>
        <w:pStyle w:val="a4"/>
        <w:spacing w:after="0"/>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Φάρμακο</w:t>
      </w:r>
    </w:p>
    <w:p w14:paraId="6CC5C50D" w14:textId="02395E96"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33.653.084 συνταγές ασφαλισμένων εκτελέστηκαν το α’ εξάμηνο 2015 σε σχέση με 31.314.251 συνταγές του α’εξαμήνου του 2014 (αύξηση 7%)</w:t>
      </w:r>
      <w:r w:rsidR="00645377">
        <w:rPr>
          <w:rStyle w:val="a7"/>
          <w:rFonts w:asciiTheme="majorHAnsi" w:hAnsiTheme="majorHAnsi"/>
          <w:sz w:val="22"/>
          <w:lang w:val="el-GR"/>
        </w:rPr>
        <w:footnoteReference w:id="12"/>
      </w:r>
      <w:r w:rsidR="00645377">
        <w:rPr>
          <w:rFonts w:asciiTheme="majorHAnsi" w:hAnsiTheme="majorHAnsi"/>
          <w:sz w:val="22"/>
          <w:lang w:val="el-GR"/>
        </w:rPr>
        <w:t>.</w:t>
      </w:r>
    </w:p>
    <w:p w14:paraId="7A2581E6" w14:textId="5CD432EC"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97.712.918 συσκευασίες φαρμάκων συνταγογραφήθηκαν το α’ εξάμηνο 2015 σε σχέση με 89.630.219 συσκευασίες φαρμάκων του α’εξαμήνου του 2014 (αύξηση 9%)</w:t>
      </w:r>
      <w:r w:rsidR="00645377">
        <w:rPr>
          <w:rStyle w:val="a7"/>
          <w:rFonts w:asciiTheme="majorHAnsi" w:hAnsiTheme="majorHAnsi"/>
          <w:sz w:val="22"/>
          <w:lang w:val="el-GR"/>
        </w:rPr>
        <w:footnoteReference w:id="13"/>
      </w:r>
      <w:r w:rsidR="00555DB5">
        <w:rPr>
          <w:rFonts w:asciiTheme="majorHAnsi" w:hAnsiTheme="majorHAnsi"/>
          <w:sz w:val="22"/>
          <w:lang w:val="el-GR"/>
        </w:rPr>
        <w:t>.</w:t>
      </w:r>
    </w:p>
    <w:p w14:paraId="0BF55044" w14:textId="5E2C6644"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Δόθηκαν φάρμακα υψηλού κόστους από τα φαρμακεία του ΕΟΠΥΥ συνολικού κόστους  492.827.393€ (εκ των οποίων 129.201.996€ νοσοκομειακής χρήσης)</w:t>
      </w:r>
      <w:r w:rsidR="00555DB5">
        <w:rPr>
          <w:rFonts w:asciiTheme="majorHAnsi" w:hAnsiTheme="majorHAnsi"/>
          <w:sz w:val="22"/>
          <w:lang w:val="el-GR"/>
        </w:rPr>
        <w:t>.</w:t>
      </w:r>
    </w:p>
    <w:p w14:paraId="5D14EFFB" w14:textId="77777777" w:rsidR="002201A6" w:rsidRPr="00827975" w:rsidRDefault="002201A6" w:rsidP="00BF1E88">
      <w:pPr>
        <w:pStyle w:val="a4"/>
        <w:numPr>
          <w:ilvl w:val="0"/>
          <w:numId w:val="3"/>
        </w:numPr>
        <w:spacing w:after="0"/>
        <w:jc w:val="both"/>
        <w:rPr>
          <w:rFonts w:asciiTheme="majorHAnsi" w:hAnsiTheme="majorHAnsi"/>
          <w:sz w:val="22"/>
          <w:lang w:val="el-GR"/>
        </w:rPr>
      </w:pPr>
      <w:r w:rsidRPr="00827975">
        <w:rPr>
          <w:rFonts w:asciiTheme="majorHAnsi" w:hAnsiTheme="majorHAnsi"/>
          <w:sz w:val="22"/>
          <w:lang w:val="el-GR"/>
        </w:rPr>
        <w:t>4076 ασφαλισμένοι έλαβαν την αναγκαία ιατροφαρμακευτική περίθαλψη σε περιστατικά υποβοηθούμενης αναπαραγωγής (εξωσωματική γονιμοποίηση).</w:t>
      </w:r>
    </w:p>
    <w:p w14:paraId="074761A1" w14:textId="77777777" w:rsidR="002201A6" w:rsidRPr="00827975" w:rsidRDefault="002201A6" w:rsidP="00BF1E88">
      <w:pPr>
        <w:pStyle w:val="a4"/>
        <w:numPr>
          <w:ilvl w:val="0"/>
          <w:numId w:val="3"/>
        </w:numPr>
        <w:spacing w:after="0"/>
        <w:jc w:val="both"/>
        <w:rPr>
          <w:rFonts w:asciiTheme="majorHAnsi" w:hAnsiTheme="majorHAnsi"/>
          <w:b/>
          <w:sz w:val="22"/>
          <w:lang w:val="el-GR"/>
        </w:rPr>
      </w:pPr>
      <w:r w:rsidRPr="00827975">
        <w:rPr>
          <w:rFonts w:asciiTheme="majorHAnsi" w:hAnsiTheme="majorHAnsi"/>
          <w:sz w:val="22"/>
          <w:lang w:val="el-GR"/>
        </w:rPr>
        <w:t>Ανασφάλιστοι 65.291 που έλαβαν συνταγές αξίας 5.594.549,36€.</w:t>
      </w:r>
    </w:p>
    <w:p w14:paraId="3BFF1E45" w14:textId="77777777" w:rsidR="00257B88" w:rsidRPr="00827975" w:rsidRDefault="00257B88" w:rsidP="00827975">
      <w:pPr>
        <w:spacing w:before="120" w:after="120" w:line="360" w:lineRule="auto"/>
        <w:jc w:val="both"/>
        <w:rPr>
          <w:rFonts w:asciiTheme="majorHAnsi" w:hAnsiTheme="majorHAnsi"/>
          <w:sz w:val="22"/>
          <w:lang w:val="el-GR"/>
        </w:rPr>
      </w:pPr>
    </w:p>
    <w:p w14:paraId="529A6080" w14:textId="77777777" w:rsidR="003F6E61" w:rsidRPr="00827975" w:rsidRDefault="003F6E61" w:rsidP="00BF1E88">
      <w:pPr>
        <w:spacing w:before="120" w:after="120" w:line="360" w:lineRule="auto"/>
        <w:jc w:val="both"/>
        <w:rPr>
          <w:rFonts w:asciiTheme="majorHAnsi" w:hAnsiTheme="majorHAnsi" w:cs="Tahoma"/>
          <w:b/>
          <w:color w:val="244061" w:themeColor="accent1" w:themeShade="80"/>
          <w:sz w:val="22"/>
          <w:u w:val="single"/>
          <w:lang w:val="el-GR"/>
        </w:rPr>
      </w:pPr>
    </w:p>
    <w:p w14:paraId="2894CE70" w14:textId="77777777" w:rsidR="003170F0" w:rsidRPr="00827975" w:rsidRDefault="003170F0" w:rsidP="00827975">
      <w:pPr>
        <w:spacing w:before="120" w:after="120" w:line="360" w:lineRule="auto"/>
        <w:jc w:val="center"/>
        <w:rPr>
          <w:rFonts w:asciiTheme="majorHAnsi" w:hAnsiTheme="majorHAnsi" w:cs="Tahoma"/>
          <w:b/>
          <w:color w:val="365F91" w:themeColor="accent1" w:themeShade="BF"/>
          <w:sz w:val="22"/>
          <w:lang w:val="el-GR"/>
        </w:rPr>
      </w:pPr>
    </w:p>
    <w:p w14:paraId="1BCC488A" w14:textId="77777777" w:rsidR="00827975" w:rsidRPr="00827975" w:rsidRDefault="00827975" w:rsidP="00827975">
      <w:pPr>
        <w:spacing w:before="120" w:after="120" w:line="360" w:lineRule="auto"/>
        <w:rPr>
          <w:rFonts w:asciiTheme="majorHAnsi" w:hAnsiTheme="majorHAnsi" w:cs="Tahoma"/>
          <w:b/>
          <w:color w:val="365F91" w:themeColor="accent1" w:themeShade="BF"/>
          <w:sz w:val="22"/>
          <w:lang w:val="el-GR"/>
        </w:rPr>
      </w:pPr>
      <w:r w:rsidRPr="00827975">
        <w:rPr>
          <w:rFonts w:asciiTheme="majorHAnsi" w:hAnsiTheme="majorHAnsi" w:cs="Tahoma"/>
          <w:b/>
          <w:color w:val="365F91" w:themeColor="accent1" w:themeShade="BF"/>
          <w:sz w:val="22"/>
          <w:lang w:val="el-GR"/>
        </w:rPr>
        <w:br w:type="page"/>
      </w:r>
    </w:p>
    <w:p w14:paraId="4BD6EBCB" w14:textId="43EC6971" w:rsidR="00B91FB1" w:rsidRPr="001640F7" w:rsidRDefault="001640F7" w:rsidP="001640F7">
      <w:pPr>
        <w:shd w:val="clear" w:color="auto" w:fill="DBE5F1" w:themeFill="accent1" w:themeFillTint="33"/>
        <w:spacing w:before="120" w:after="120" w:line="360" w:lineRule="auto"/>
        <w:jc w:val="both"/>
        <w:rPr>
          <w:rFonts w:asciiTheme="majorHAnsi" w:hAnsiTheme="majorHAnsi" w:cs="Tahoma"/>
          <w:b/>
          <w:color w:val="E36C0A" w:themeColor="accent6" w:themeShade="BF"/>
          <w:sz w:val="22"/>
          <w:lang w:val="el-GR"/>
        </w:rPr>
      </w:pPr>
      <w:r>
        <w:rPr>
          <w:rFonts w:asciiTheme="majorHAnsi" w:hAnsiTheme="majorHAnsi" w:cs="Tahoma"/>
          <w:b/>
          <w:color w:val="E36C0A" w:themeColor="accent6" w:themeShade="BF"/>
          <w:sz w:val="22"/>
          <w:lang w:val="el-GR"/>
        </w:rPr>
        <w:lastRenderedPageBreak/>
        <w:t>Οικονομικά στοιχεία</w:t>
      </w:r>
    </w:p>
    <w:p w14:paraId="019CF2EC" w14:textId="77777777" w:rsidR="00147498" w:rsidRPr="00827975" w:rsidRDefault="00147498" w:rsidP="001640F7">
      <w:pPr>
        <w:spacing w:before="120" w:after="120" w:line="360" w:lineRule="auto"/>
        <w:jc w:val="both"/>
        <w:rPr>
          <w:rFonts w:asciiTheme="majorHAnsi" w:hAnsiTheme="majorHAnsi" w:cs="Tahoma"/>
          <w:color w:val="365F91" w:themeColor="accent1" w:themeShade="BF"/>
          <w:sz w:val="22"/>
          <w:u w:val="single"/>
          <w:lang w:val="el-GR"/>
        </w:rPr>
      </w:pPr>
    </w:p>
    <w:p w14:paraId="275F7DCA" w14:textId="69327E22" w:rsidR="001640F7" w:rsidRDefault="001640F7" w:rsidP="001640F7">
      <w:pPr>
        <w:spacing w:before="120" w:after="120" w:line="360" w:lineRule="auto"/>
        <w:jc w:val="both"/>
        <w:rPr>
          <w:rFonts w:asciiTheme="majorHAnsi" w:hAnsiTheme="majorHAnsi" w:cs="Tahoma"/>
          <w:color w:val="365F91" w:themeColor="accent1" w:themeShade="BF"/>
          <w:sz w:val="22"/>
          <w:u w:val="single"/>
          <w:lang w:val="el-GR"/>
        </w:rPr>
      </w:pPr>
      <w:r>
        <w:rPr>
          <w:rFonts w:asciiTheme="majorHAnsi" w:hAnsiTheme="majorHAnsi" w:cs="Tahoma"/>
          <w:color w:val="365F91" w:themeColor="accent1" w:themeShade="BF"/>
          <w:sz w:val="22"/>
          <w:u w:val="single"/>
          <w:lang w:val="el-GR"/>
        </w:rPr>
        <w:t xml:space="preserve">Προϋπολογισμός </w:t>
      </w:r>
    </w:p>
    <w:p w14:paraId="12BC5975" w14:textId="26A1ABFD" w:rsidR="00721542" w:rsidRDefault="00721542" w:rsidP="001640F7">
      <w:pPr>
        <w:spacing w:before="120" w:after="120" w:line="360" w:lineRule="auto"/>
        <w:jc w:val="both"/>
        <w:rPr>
          <w:rFonts w:asciiTheme="majorHAnsi" w:hAnsiTheme="majorHAnsi" w:cs="Tahoma"/>
          <w:sz w:val="22"/>
          <w:lang w:val="el-GR"/>
        </w:rPr>
      </w:pPr>
      <w:r>
        <w:rPr>
          <w:rFonts w:asciiTheme="majorHAnsi" w:hAnsiTheme="majorHAnsi" w:cs="Tahoma"/>
          <w:sz w:val="22"/>
          <w:lang w:val="el-GR"/>
        </w:rPr>
        <w:t>Τα προϋπολογιστικά μεγέθη του ΕΟΠΥΥ αποτελούν υποσύνολο του κοινωνικού προϋπολογισμού και ως εκ τούτου επηρεάζονται από τα διαρθρωτικά μέτρα και τις δράσεις οι οποίες υιοθετούνται προς της κατεύθυνση της δημοσιονομικής προσαρμογής. Επιπρόσθετα, η φύση των εσόδων του ΕΟΠΥΥ, κρατική επιχορήγηση και ασφαλιστικές εισφορές, συναρτά</w:t>
      </w:r>
      <w:r w:rsidR="00D601C7">
        <w:rPr>
          <w:rFonts w:asciiTheme="majorHAnsi" w:hAnsiTheme="majorHAnsi" w:cs="Tahoma"/>
          <w:sz w:val="22"/>
          <w:lang w:val="el-GR"/>
        </w:rPr>
        <w:t>ται</w:t>
      </w:r>
      <w:r>
        <w:rPr>
          <w:rFonts w:asciiTheme="majorHAnsi" w:hAnsiTheme="majorHAnsi" w:cs="Tahoma"/>
          <w:sz w:val="22"/>
          <w:lang w:val="el-GR"/>
        </w:rPr>
        <w:t xml:space="preserve"> άμεσα </w:t>
      </w:r>
      <w:r w:rsidR="00D601C7">
        <w:rPr>
          <w:rFonts w:asciiTheme="majorHAnsi" w:hAnsiTheme="majorHAnsi" w:cs="Tahoma"/>
          <w:sz w:val="22"/>
          <w:lang w:val="el-GR"/>
        </w:rPr>
        <w:t xml:space="preserve">από </w:t>
      </w:r>
      <w:r>
        <w:rPr>
          <w:rFonts w:asciiTheme="majorHAnsi" w:hAnsiTheme="majorHAnsi" w:cs="Tahoma"/>
          <w:sz w:val="22"/>
          <w:lang w:val="el-GR"/>
        </w:rPr>
        <w:t>το ευρύτερο οικονομικό και παραγωγικό περιβάλλον (δείκτες ανάπτυξης και απασχόλησης) με τη χρηματοδοτική βάση του Οργανισμού.</w:t>
      </w:r>
    </w:p>
    <w:p w14:paraId="68A43386" w14:textId="77777777" w:rsidR="00231A95" w:rsidRDefault="00231A95" w:rsidP="001640F7">
      <w:pPr>
        <w:spacing w:before="120" w:after="120" w:line="360" w:lineRule="auto"/>
        <w:jc w:val="both"/>
        <w:rPr>
          <w:rFonts w:asciiTheme="majorHAnsi" w:hAnsiTheme="majorHAnsi" w:cs="Tahoma"/>
          <w:sz w:val="22"/>
          <w:lang w:val="el-GR"/>
        </w:rPr>
      </w:pPr>
    </w:p>
    <w:p w14:paraId="0F8139A1" w14:textId="5D823E7D" w:rsidR="00721542" w:rsidRPr="00231A95" w:rsidRDefault="00721542" w:rsidP="001640F7">
      <w:pPr>
        <w:spacing w:before="120" w:after="120" w:line="360" w:lineRule="auto"/>
        <w:jc w:val="both"/>
        <w:rPr>
          <w:rFonts w:asciiTheme="majorHAnsi" w:hAnsiTheme="majorHAnsi" w:cs="Tahoma"/>
          <w:b/>
          <w:sz w:val="22"/>
          <w:lang w:val="el-GR"/>
        </w:rPr>
      </w:pPr>
      <w:r w:rsidRPr="00231A95">
        <w:rPr>
          <w:rFonts w:asciiTheme="majorHAnsi" w:hAnsiTheme="majorHAnsi" w:cs="Tahoma"/>
          <w:b/>
          <w:sz w:val="22"/>
          <w:lang w:val="el-GR"/>
        </w:rPr>
        <w:t xml:space="preserve">Πίνακας 1. Πρόβλεψη </w:t>
      </w:r>
      <w:r w:rsidR="00231A95" w:rsidRPr="00231A95">
        <w:rPr>
          <w:rFonts w:asciiTheme="majorHAnsi" w:hAnsiTheme="majorHAnsi" w:cs="Tahoma"/>
          <w:b/>
          <w:sz w:val="22"/>
          <w:lang w:val="el-GR"/>
        </w:rPr>
        <w:t>ετήσιου προϋπολογισμού ΕΟΠΥΥ, 2014-2018</w:t>
      </w:r>
    </w:p>
    <w:tbl>
      <w:tblPr>
        <w:tblStyle w:val="1-1"/>
        <w:tblW w:w="0" w:type="auto"/>
        <w:tblBorders>
          <w:top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415"/>
        <w:gridCol w:w="1415"/>
        <w:gridCol w:w="1415"/>
        <w:gridCol w:w="1415"/>
        <w:gridCol w:w="1416"/>
      </w:tblGrid>
      <w:tr w:rsidR="00231A95" w:rsidRPr="00231A95" w14:paraId="21D3E6D6" w14:textId="77777777" w:rsidTr="00231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dxa"/>
            <w:tcBorders>
              <w:top w:val="none" w:sz="0" w:space="0" w:color="auto"/>
              <w:bottom w:val="none" w:sz="0" w:space="0" w:color="auto"/>
            </w:tcBorders>
          </w:tcPr>
          <w:p w14:paraId="1B712762" w14:textId="46EE66C0" w:rsidR="00231A95" w:rsidRPr="00231A95" w:rsidRDefault="00231A95" w:rsidP="001640F7">
            <w:pPr>
              <w:spacing w:before="120" w:after="120" w:line="360" w:lineRule="auto"/>
              <w:jc w:val="both"/>
              <w:rPr>
                <w:rFonts w:cs="Tahoma"/>
                <w:lang w:val="el-GR"/>
              </w:rPr>
            </w:pPr>
            <w:r w:rsidRPr="00231A95">
              <w:rPr>
                <w:rFonts w:cs="Tahoma"/>
                <w:lang w:val="el-GR"/>
              </w:rPr>
              <w:t>Προϋπολογισμός</w:t>
            </w:r>
          </w:p>
        </w:tc>
        <w:tc>
          <w:tcPr>
            <w:tcW w:w="1455" w:type="dxa"/>
            <w:tcBorders>
              <w:top w:val="none" w:sz="0" w:space="0" w:color="auto"/>
              <w:bottom w:val="none" w:sz="0" w:space="0" w:color="auto"/>
            </w:tcBorders>
          </w:tcPr>
          <w:p w14:paraId="5F00A6A7" w14:textId="74F07929" w:rsidR="00231A95" w:rsidRPr="00231A95" w:rsidRDefault="00231A95" w:rsidP="00231A95">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cs="Tahoma"/>
                <w:lang w:val="el-GR"/>
              </w:rPr>
            </w:pPr>
            <w:r w:rsidRPr="00231A95">
              <w:rPr>
                <w:rFonts w:cs="Tahoma"/>
                <w:lang w:val="el-GR"/>
              </w:rPr>
              <w:t>2014</w:t>
            </w:r>
          </w:p>
        </w:tc>
        <w:tc>
          <w:tcPr>
            <w:tcW w:w="1455" w:type="dxa"/>
            <w:tcBorders>
              <w:top w:val="none" w:sz="0" w:space="0" w:color="auto"/>
              <w:bottom w:val="none" w:sz="0" w:space="0" w:color="auto"/>
            </w:tcBorders>
          </w:tcPr>
          <w:p w14:paraId="37063C85" w14:textId="48650FE8" w:rsidR="00231A95" w:rsidRPr="00231A95" w:rsidRDefault="00231A95" w:rsidP="00231A95">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cs="Tahoma"/>
                <w:lang w:val="el-GR"/>
              </w:rPr>
            </w:pPr>
            <w:r w:rsidRPr="00231A95">
              <w:rPr>
                <w:rFonts w:cs="Tahoma"/>
                <w:lang w:val="el-GR"/>
              </w:rPr>
              <w:t>2015</w:t>
            </w:r>
          </w:p>
        </w:tc>
        <w:tc>
          <w:tcPr>
            <w:tcW w:w="1455" w:type="dxa"/>
            <w:tcBorders>
              <w:top w:val="none" w:sz="0" w:space="0" w:color="auto"/>
              <w:bottom w:val="none" w:sz="0" w:space="0" w:color="auto"/>
            </w:tcBorders>
          </w:tcPr>
          <w:p w14:paraId="054C8AB8" w14:textId="6820146A" w:rsidR="00231A95" w:rsidRPr="00231A95" w:rsidRDefault="00231A95" w:rsidP="00231A95">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cs="Tahoma"/>
                <w:lang w:val="el-GR"/>
              </w:rPr>
            </w:pPr>
            <w:r w:rsidRPr="00231A95">
              <w:rPr>
                <w:rFonts w:cs="Tahoma"/>
                <w:lang w:val="el-GR"/>
              </w:rPr>
              <w:t>2016</w:t>
            </w:r>
          </w:p>
        </w:tc>
        <w:tc>
          <w:tcPr>
            <w:tcW w:w="1455" w:type="dxa"/>
            <w:tcBorders>
              <w:top w:val="none" w:sz="0" w:space="0" w:color="auto"/>
              <w:bottom w:val="none" w:sz="0" w:space="0" w:color="auto"/>
            </w:tcBorders>
          </w:tcPr>
          <w:p w14:paraId="6472647F" w14:textId="31BC1E3F" w:rsidR="00231A95" w:rsidRPr="00231A95" w:rsidRDefault="00231A95" w:rsidP="00231A95">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cs="Tahoma"/>
                <w:lang w:val="el-GR"/>
              </w:rPr>
            </w:pPr>
            <w:r w:rsidRPr="00231A95">
              <w:rPr>
                <w:rFonts w:cs="Tahoma"/>
                <w:lang w:val="el-GR"/>
              </w:rPr>
              <w:t>2017</w:t>
            </w:r>
          </w:p>
        </w:tc>
        <w:tc>
          <w:tcPr>
            <w:tcW w:w="1456" w:type="dxa"/>
            <w:tcBorders>
              <w:top w:val="none" w:sz="0" w:space="0" w:color="auto"/>
              <w:bottom w:val="none" w:sz="0" w:space="0" w:color="auto"/>
            </w:tcBorders>
          </w:tcPr>
          <w:p w14:paraId="13864A0F" w14:textId="18E11468" w:rsidR="00231A95" w:rsidRPr="00231A95" w:rsidRDefault="00231A95" w:rsidP="00231A95">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cs="Tahoma"/>
                <w:lang w:val="el-GR"/>
              </w:rPr>
            </w:pPr>
            <w:r w:rsidRPr="00231A95">
              <w:rPr>
                <w:rFonts w:cs="Tahoma"/>
                <w:lang w:val="el-GR"/>
              </w:rPr>
              <w:t>2018</w:t>
            </w:r>
          </w:p>
        </w:tc>
      </w:tr>
      <w:tr w:rsidR="00231A95" w:rsidRPr="00231A95" w14:paraId="7E2B1856" w14:textId="77777777" w:rsidTr="00231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dxa"/>
          </w:tcPr>
          <w:p w14:paraId="594B5ADC" w14:textId="42E8B83B" w:rsidR="00231A95" w:rsidRPr="00231A95" w:rsidRDefault="00231A95" w:rsidP="001640F7">
            <w:pPr>
              <w:spacing w:before="120" w:after="120" w:line="360" w:lineRule="auto"/>
              <w:jc w:val="both"/>
              <w:rPr>
                <w:rFonts w:asciiTheme="majorHAnsi" w:hAnsiTheme="majorHAnsi" w:cs="Tahoma"/>
                <w:lang w:val="el-GR"/>
              </w:rPr>
            </w:pPr>
            <w:r w:rsidRPr="00231A95">
              <w:rPr>
                <w:rFonts w:asciiTheme="majorHAnsi" w:hAnsiTheme="majorHAnsi" w:cs="Tahoma"/>
                <w:lang w:val="el-GR"/>
              </w:rPr>
              <w:t>Έσοδα</w:t>
            </w:r>
          </w:p>
        </w:tc>
        <w:tc>
          <w:tcPr>
            <w:tcW w:w="1455" w:type="dxa"/>
          </w:tcPr>
          <w:p w14:paraId="3AE98FD3" w14:textId="0DD89221" w:rsidR="00231A95" w:rsidRPr="00231A95" w:rsidRDefault="00231A95" w:rsidP="00231A95">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ahoma"/>
                <w:lang w:val="el-GR"/>
              </w:rPr>
            </w:pPr>
            <w:r w:rsidRPr="00231A95">
              <w:rPr>
                <w:rFonts w:asciiTheme="majorHAnsi" w:hAnsiTheme="majorHAnsi" w:cs="Tahoma"/>
                <w:lang w:val="el-GR"/>
              </w:rPr>
              <w:t>5.496</w:t>
            </w:r>
          </w:p>
        </w:tc>
        <w:tc>
          <w:tcPr>
            <w:tcW w:w="1455" w:type="dxa"/>
          </w:tcPr>
          <w:p w14:paraId="2D3F6CB1" w14:textId="486AC63E" w:rsidR="00231A95" w:rsidRPr="00231A95" w:rsidRDefault="00231A95" w:rsidP="00231A95">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ahoma"/>
                <w:lang w:val="el-GR"/>
              </w:rPr>
            </w:pPr>
            <w:r w:rsidRPr="00231A95">
              <w:rPr>
                <w:rFonts w:asciiTheme="majorHAnsi" w:hAnsiTheme="majorHAnsi" w:cs="Tahoma"/>
                <w:lang w:val="el-GR"/>
              </w:rPr>
              <w:t>5.190</w:t>
            </w:r>
          </w:p>
        </w:tc>
        <w:tc>
          <w:tcPr>
            <w:tcW w:w="1455" w:type="dxa"/>
          </w:tcPr>
          <w:p w14:paraId="75399060" w14:textId="43441296" w:rsidR="00231A95" w:rsidRPr="00231A95" w:rsidRDefault="00231A95" w:rsidP="00231A95">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ahoma"/>
                <w:lang w:val="el-GR"/>
              </w:rPr>
            </w:pPr>
            <w:r w:rsidRPr="00231A95">
              <w:rPr>
                <w:rFonts w:asciiTheme="majorHAnsi" w:hAnsiTheme="majorHAnsi" w:cs="Tahoma"/>
                <w:lang w:val="el-GR"/>
              </w:rPr>
              <w:t>5.291</w:t>
            </w:r>
          </w:p>
        </w:tc>
        <w:tc>
          <w:tcPr>
            <w:tcW w:w="1455" w:type="dxa"/>
          </w:tcPr>
          <w:p w14:paraId="3C64970E" w14:textId="2589EB12" w:rsidR="00231A95" w:rsidRPr="00231A95" w:rsidRDefault="00231A95" w:rsidP="00231A95">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ahoma"/>
                <w:lang w:val="el-GR"/>
              </w:rPr>
            </w:pPr>
            <w:r w:rsidRPr="00231A95">
              <w:rPr>
                <w:rFonts w:asciiTheme="majorHAnsi" w:hAnsiTheme="majorHAnsi" w:cs="Tahoma"/>
                <w:lang w:val="el-GR"/>
              </w:rPr>
              <w:t>5.342</w:t>
            </w:r>
          </w:p>
        </w:tc>
        <w:tc>
          <w:tcPr>
            <w:tcW w:w="1456" w:type="dxa"/>
          </w:tcPr>
          <w:p w14:paraId="7A03C861" w14:textId="370BDE91" w:rsidR="00231A95" w:rsidRPr="00231A95" w:rsidRDefault="00231A95" w:rsidP="00231A95">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ahoma"/>
                <w:lang w:val="el-GR"/>
              </w:rPr>
            </w:pPr>
            <w:r w:rsidRPr="00231A95">
              <w:rPr>
                <w:rFonts w:asciiTheme="majorHAnsi" w:hAnsiTheme="majorHAnsi" w:cs="Tahoma"/>
                <w:lang w:val="el-GR"/>
              </w:rPr>
              <w:t>5.394</w:t>
            </w:r>
          </w:p>
        </w:tc>
      </w:tr>
    </w:tbl>
    <w:p w14:paraId="07869364" w14:textId="77777777" w:rsidR="00721542" w:rsidRDefault="00721542" w:rsidP="001640F7">
      <w:pPr>
        <w:spacing w:before="120" w:after="120" w:line="360" w:lineRule="auto"/>
        <w:jc w:val="both"/>
        <w:rPr>
          <w:rFonts w:asciiTheme="majorHAnsi" w:hAnsiTheme="majorHAnsi" w:cs="Tahoma"/>
          <w:sz w:val="22"/>
          <w:lang w:val="el-GR"/>
        </w:rPr>
      </w:pPr>
    </w:p>
    <w:p w14:paraId="56757251" w14:textId="2A0EBBBF" w:rsidR="00721542" w:rsidRPr="00231A95" w:rsidRDefault="00721542" w:rsidP="001640F7">
      <w:pPr>
        <w:spacing w:before="120" w:after="120" w:line="360" w:lineRule="auto"/>
        <w:jc w:val="both"/>
        <w:rPr>
          <w:rFonts w:asciiTheme="majorHAnsi" w:hAnsiTheme="majorHAnsi" w:cs="Tahoma"/>
          <w:b/>
          <w:sz w:val="22"/>
          <w:lang w:val="el-GR"/>
        </w:rPr>
      </w:pPr>
      <w:r w:rsidRPr="00231A95">
        <w:rPr>
          <w:rFonts w:asciiTheme="majorHAnsi" w:hAnsiTheme="majorHAnsi" w:cs="Tahoma"/>
          <w:b/>
          <w:sz w:val="22"/>
          <w:lang w:val="el-GR"/>
        </w:rPr>
        <w:t>Π</w:t>
      </w:r>
      <w:r w:rsidR="00231A95" w:rsidRPr="00231A95">
        <w:rPr>
          <w:rFonts w:asciiTheme="majorHAnsi" w:hAnsiTheme="majorHAnsi" w:cs="Tahoma"/>
          <w:b/>
          <w:sz w:val="22"/>
          <w:lang w:val="el-GR"/>
        </w:rPr>
        <w:t>ίνακας 2</w:t>
      </w:r>
      <w:r w:rsidRPr="00231A95">
        <w:rPr>
          <w:rFonts w:asciiTheme="majorHAnsi" w:hAnsiTheme="majorHAnsi" w:cs="Tahoma"/>
          <w:b/>
          <w:sz w:val="22"/>
          <w:lang w:val="el-GR"/>
        </w:rPr>
        <w:t xml:space="preserve">. </w:t>
      </w:r>
      <w:r w:rsidR="00231A95" w:rsidRPr="00231A95">
        <w:rPr>
          <w:rFonts w:asciiTheme="majorHAnsi" w:hAnsiTheme="majorHAnsi" w:cs="Tahoma"/>
          <w:b/>
          <w:sz w:val="22"/>
          <w:lang w:val="el-GR"/>
        </w:rPr>
        <w:t>Κατάσταση</w:t>
      </w:r>
      <w:r w:rsidR="003D7EDA">
        <w:rPr>
          <w:rFonts w:asciiTheme="majorHAnsi" w:hAnsiTheme="majorHAnsi" w:cs="Tahoma"/>
          <w:b/>
          <w:sz w:val="22"/>
          <w:lang w:val="el-GR"/>
        </w:rPr>
        <w:t xml:space="preserve"> τ</w:t>
      </w:r>
      <w:r w:rsidR="00D601C7">
        <w:rPr>
          <w:rFonts w:asciiTheme="majorHAnsi" w:hAnsiTheme="majorHAnsi" w:cs="Tahoma"/>
          <w:b/>
          <w:sz w:val="22"/>
          <w:lang w:val="el-GR"/>
        </w:rPr>
        <w:t>αμειακών</w:t>
      </w:r>
      <w:r w:rsidR="00231A95" w:rsidRPr="00231A95">
        <w:rPr>
          <w:rFonts w:asciiTheme="majorHAnsi" w:hAnsiTheme="majorHAnsi" w:cs="Tahoma"/>
          <w:b/>
          <w:sz w:val="22"/>
          <w:lang w:val="el-GR"/>
        </w:rPr>
        <w:t xml:space="preserve"> εσόδων/εξόδων ΕΟΠΥΥ, 2013-2015</w:t>
      </w:r>
    </w:p>
    <w:tbl>
      <w:tblPr>
        <w:tblW w:w="8662" w:type="dxa"/>
        <w:tblInd w:w="93" w:type="dxa"/>
        <w:tblLook w:val="04A0" w:firstRow="1" w:lastRow="0" w:firstColumn="1" w:lastColumn="0" w:noHBand="0" w:noVBand="1"/>
      </w:tblPr>
      <w:tblGrid>
        <w:gridCol w:w="3276"/>
        <w:gridCol w:w="1984"/>
        <w:gridCol w:w="1843"/>
        <w:gridCol w:w="1559"/>
      </w:tblGrid>
      <w:tr w:rsidR="00203C29" w:rsidRPr="00203C29" w14:paraId="5538E96F" w14:textId="77777777" w:rsidTr="00231A95">
        <w:trPr>
          <w:trHeight w:val="315"/>
        </w:trPr>
        <w:tc>
          <w:tcPr>
            <w:tcW w:w="3276" w:type="dxa"/>
            <w:tcBorders>
              <w:top w:val="single" w:sz="4" w:space="0" w:color="auto"/>
              <w:left w:val="single" w:sz="4" w:space="0" w:color="auto"/>
              <w:bottom w:val="single" w:sz="8" w:space="0" w:color="000000"/>
              <w:right w:val="single" w:sz="8" w:space="0" w:color="000000"/>
            </w:tcBorders>
            <w:shd w:val="clear" w:color="auto" w:fill="auto"/>
            <w:vAlign w:val="center"/>
            <w:hideMark/>
          </w:tcPr>
          <w:p w14:paraId="4F93D7F2" w14:textId="77777777" w:rsidR="00203C29" w:rsidRPr="00203C29" w:rsidRDefault="00203C29" w:rsidP="00203C29">
            <w:pP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 </w:t>
            </w:r>
          </w:p>
        </w:tc>
        <w:tc>
          <w:tcPr>
            <w:tcW w:w="1984" w:type="dxa"/>
            <w:tcBorders>
              <w:top w:val="single" w:sz="4" w:space="0" w:color="auto"/>
              <w:left w:val="nil"/>
              <w:bottom w:val="single" w:sz="8" w:space="0" w:color="000000"/>
              <w:right w:val="single" w:sz="8" w:space="0" w:color="000000"/>
            </w:tcBorders>
            <w:shd w:val="clear" w:color="auto" w:fill="auto"/>
            <w:vAlign w:val="center"/>
            <w:hideMark/>
          </w:tcPr>
          <w:p w14:paraId="75D04E41"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2013</w:t>
            </w:r>
          </w:p>
        </w:tc>
        <w:tc>
          <w:tcPr>
            <w:tcW w:w="1843" w:type="dxa"/>
            <w:tcBorders>
              <w:top w:val="single" w:sz="4" w:space="0" w:color="auto"/>
              <w:left w:val="nil"/>
              <w:bottom w:val="single" w:sz="8" w:space="0" w:color="000000"/>
              <w:right w:val="single" w:sz="8" w:space="0" w:color="000000"/>
            </w:tcBorders>
            <w:shd w:val="clear" w:color="auto" w:fill="auto"/>
            <w:vAlign w:val="center"/>
            <w:hideMark/>
          </w:tcPr>
          <w:p w14:paraId="535710AB"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2014</w:t>
            </w:r>
          </w:p>
        </w:tc>
        <w:tc>
          <w:tcPr>
            <w:tcW w:w="1559" w:type="dxa"/>
            <w:tcBorders>
              <w:top w:val="single" w:sz="4" w:space="0" w:color="auto"/>
              <w:left w:val="nil"/>
              <w:bottom w:val="single" w:sz="8" w:space="0" w:color="000000"/>
              <w:right w:val="single" w:sz="4" w:space="0" w:color="auto"/>
            </w:tcBorders>
            <w:shd w:val="clear" w:color="auto" w:fill="auto"/>
            <w:vAlign w:val="center"/>
            <w:hideMark/>
          </w:tcPr>
          <w:p w14:paraId="4E27501B"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2015</w:t>
            </w:r>
          </w:p>
        </w:tc>
      </w:tr>
      <w:tr w:rsidR="00203C29" w:rsidRPr="00203C29" w14:paraId="1B34ADF0"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03602810" w14:textId="77777777" w:rsidR="00203C29" w:rsidRPr="00203C29" w:rsidRDefault="00203C29" w:rsidP="00203C29">
            <w:pP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Έσοδα</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1AED8E09"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5.274</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266EA6CB"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4.621</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7E018412"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4.590</w:t>
            </w:r>
          </w:p>
        </w:tc>
      </w:tr>
      <w:tr w:rsidR="00203C29" w:rsidRPr="00203C29" w14:paraId="77ABC94A"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4F018C5B"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Ασφαλιστικές Εισφορές</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0972536E"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3.942</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01F76AAC"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3.708</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0BC3F572"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3.782</w:t>
            </w:r>
          </w:p>
        </w:tc>
      </w:tr>
      <w:tr w:rsidR="00203C29" w:rsidRPr="00203C29" w14:paraId="4D8D1351"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14561988"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Ρύθμιση Οφειλών</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461E3220"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106</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0F75C68D"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162</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344EC94B"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164</w:t>
            </w:r>
          </w:p>
        </w:tc>
      </w:tr>
      <w:tr w:rsidR="00203C29" w:rsidRPr="00203C29" w14:paraId="5FD68951"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382AF8CC"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Κοινωνικοί Πόροι</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639772F0"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4421504E"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4D12A87C"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w:t>
            </w:r>
          </w:p>
        </w:tc>
      </w:tr>
      <w:tr w:rsidR="00203C29" w:rsidRPr="00203C29" w14:paraId="19C50425"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445ED453"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Κρατική Επιχορήγηση</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05043D36"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1.108</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0EACF7EB"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633</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1CAFA7CC"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526</w:t>
            </w:r>
          </w:p>
        </w:tc>
      </w:tr>
      <w:tr w:rsidR="00203C29" w:rsidRPr="00203C29" w14:paraId="45930E74"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363CBA69"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Απόδοση Περιουσίας</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52C8261C"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53</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636AE373"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53</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16A4A678"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53</w:t>
            </w:r>
          </w:p>
        </w:tc>
      </w:tr>
      <w:tr w:rsidR="00203C29" w:rsidRPr="00203C29" w14:paraId="69321909"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359E4F35"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Λοιπά</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155180A5"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62</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72C0EBFE"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62</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6E2A55FF"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62</w:t>
            </w:r>
          </w:p>
        </w:tc>
      </w:tr>
      <w:tr w:rsidR="00203C29" w:rsidRPr="00203C29" w14:paraId="6264F0EB" w14:textId="77777777" w:rsidTr="00231A95">
        <w:trPr>
          <w:trHeight w:val="315"/>
        </w:trPr>
        <w:tc>
          <w:tcPr>
            <w:tcW w:w="3276" w:type="dxa"/>
            <w:tcBorders>
              <w:top w:val="single" w:sz="8" w:space="0" w:color="000000"/>
              <w:left w:val="single" w:sz="4" w:space="0" w:color="auto"/>
              <w:bottom w:val="single" w:sz="8" w:space="0" w:color="000000"/>
              <w:right w:val="nil"/>
            </w:tcBorders>
            <w:shd w:val="clear" w:color="auto" w:fill="auto"/>
            <w:vAlign w:val="center"/>
            <w:hideMark/>
          </w:tcPr>
          <w:p w14:paraId="41F762C9"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 </w:t>
            </w:r>
          </w:p>
        </w:tc>
        <w:tc>
          <w:tcPr>
            <w:tcW w:w="1984" w:type="dxa"/>
            <w:tcBorders>
              <w:top w:val="single" w:sz="8" w:space="0" w:color="000000"/>
              <w:left w:val="nil"/>
              <w:bottom w:val="single" w:sz="8" w:space="0" w:color="000000"/>
              <w:right w:val="nil"/>
            </w:tcBorders>
            <w:shd w:val="clear" w:color="auto" w:fill="auto"/>
            <w:vAlign w:val="center"/>
            <w:hideMark/>
          </w:tcPr>
          <w:p w14:paraId="4A957DCE"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 </w:t>
            </w:r>
          </w:p>
        </w:tc>
        <w:tc>
          <w:tcPr>
            <w:tcW w:w="1843" w:type="dxa"/>
            <w:tcBorders>
              <w:top w:val="single" w:sz="8" w:space="0" w:color="000000"/>
              <w:left w:val="nil"/>
              <w:bottom w:val="single" w:sz="8" w:space="0" w:color="000000"/>
              <w:right w:val="nil"/>
            </w:tcBorders>
            <w:shd w:val="clear" w:color="auto" w:fill="auto"/>
            <w:vAlign w:val="center"/>
            <w:hideMark/>
          </w:tcPr>
          <w:p w14:paraId="640817EF"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 </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258B0C55"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 </w:t>
            </w:r>
          </w:p>
        </w:tc>
      </w:tr>
      <w:tr w:rsidR="00203C29" w:rsidRPr="00203C29" w14:paraId="7E8983AA"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557B519E" w14:textId="77777777" w:rsidR="00203C29" w:rsidRPr="00203C29" w:rsidRDefault="00203C29" w:rsidP="00203C29">
            <w:pP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Έξοδα</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76F709F7"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5.432</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7E463453"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4.513</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66524E0F" w14:textId="77777777" w:rsidR="00203C29" w:rsidRPr="00203C29" w:rsidRDefault="00203C29" w:rsidP="00203C29">
            <w:pPr>
              <w:jc w:val="center"/>
              <w:rPr>
                <w:rFonts w:ascii="Calibri" w:eastAsia="Times New Roman" w:hAnsi="Calibri" w:cs="Times New Roman"/>
                <w:b/>
                <w:bCs/>
                <w:color w:val="000000"/>
                <w:szCs w:val="18"/>
                <w:lang w:val="el-GR" w:eastAsia="el-GR"/>
              </w:rPr>
            </w:pPr>
            <w:r w:rsidRPr="00203C29">
              <w:rPr>
                <w:rFonts w:ascii="Calibri" w:eastAsia="Times New Roman" w:hAnsi="Calibri" w:cs="Times New Roman"/>
                <w:b/>
                <w:bCs/>
                <w:color w:val="000000"/>
                <w:szCs w:val="18"/>
                <w:lang w:val="el-GR" w:eastAsia="el-GR"/>
              </w:rPr>
              <w:t>4.566</w:t>
            </w:r>
          </w:p>
        </w:tc>
      </w:tr>
      <w:tr w:rsidR="00203C29" w:rsidRPr="00203C29" w14:paraId="4024755C"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7C8D1860"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Φαρμακευτική Δαπάνη</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4BED1263"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3.076</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60E72F03"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2.230</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20037822"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2.302</w:t>
            </w:r>
          </w:p>
        </w:tc>
      </w:tr>
      <w:tr w:rsidR="00203C29" w:rsidRPr="00203C29" w14:paraId="53F2F81E"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51B72F6D"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Λοιπές Παροχές Ασθενείας</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7BA33CBD"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2.179</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405E1E30"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1.625</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75B8F745"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1.271</w:t>
            </w:r>
          </w:p>
        </w:tc>
      </w:tr>
      <w:tr w:rsidR="00203C29" w:rsidRPr="00203C29" w14:paraId="608D0346"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2B258006"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Μισθοδοσία Προσωπικού</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58AD39F3"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27</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0894FBF8"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88</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569300A8"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36</w:t>
            </w:r>
          </w:p>
        </w:tc>
      </w:tr>
      <w:tr w:rsidR="00203C29" w:rsidRPr="00203C29" w14:paraId="085C89F3"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1CC370E5"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Δημόσια Νοσοκομεία</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10CEBA37"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38</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65CA8C39"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458</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2672420C"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900</w:t>
            </w:r>
          </w:p>
        </w:tc>
      </w:tr>
      <w:tr w:rsidR="00203C29" w:rsidRPr="00203C29" w14:paraId="77C81927" w14:textId="77777777" w:rsidTr="00231A95">
        <w:trPr>
          <w:trHeight w:val="315"/>
        </w:trPr>
        <w:tc>
          <w:tcPr>
            <w:tcW w:w="3276"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6124DC9B"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Λοιπά Έξοδα</w:t>
            </w:r>
          </w:p>
        </w:tc>
        <w:tc>
          <w:tcPr>
            <w:tcW w:w="1984" w:type="dxa"/>
            <w:tcBorders>
              <w:top w:val="single" w:sz="8" w:space="0" w:color="000000"/>
              <w:left w:val="nil"/>
              <w:bottom w:val="single" w:sz="8" w:space="0" w:color="000000"/>
              <w:right w:val="single" w:sz="8" w:space="0" w:color="000000"/>
            </w:tcBorders>
            <w:shd w:val="clear" w:color="auto" w:fill="auto"/>
            <w:vAlign w:val="center"/>
            <w:hideMark/>
          </w:tcPr>
          <w:p w14:paraId="5E302263"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112</w:t>
            </w:r>
          </w:p>
        </w:tc>
        <w:tc>
          <w:tcPr>
            <w:tcW w:w="1843" w:type="dxa"/>
            <w:tcBorders>
              <w:top w:val="single" w:sz="8" w:space="0" w:color="000000"/>
              <w:left w:val="nil"/>
              <w:bottom w:val="single" w:sz="8" w:space="0" w:color="000000"/>
              <w:right w:val="single" w:sz="8" w:space="0" w:color="000000"/>
            </w:tcBorders>
            <w:shd w:val="clear" w:color="auto" w:fill="auto"/>
            <w:vAlign w:val="center"/>
            <w:hideMark/>
          </w:tcPr>
          <w:p w14:paraId="77A4285F"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112</w:t>
            </w:r>
          </w:p>
        </w:tc>
        <w:tc>
          <w:tcPr>
            <w:tcW w:w="1559" w:type="dxa"/>
            <w:tcBorders>
              <w:top w:val="single" w:sz="8" w:space="0" w:color="000000"/>
              <w:left w:val="nil"/>
              <w:bottom w:val="single" w:sz="8" w:space="0" w:color="000000"/>
              <w:right w:val="single" w:sz="4" w:space="0" w:color="auto"/>
            </w:tcBorders>
            <w:shd w:val="clear" w:color="auto" w:fill="auto"/>
            <w:vAlign w:val="center"/>
            <w:hideMark/>
          </w:tcPr>
          <w:p w14:paraId="6FADC0BE" w14:textId="77777777" w:rsidR="00203C29" w:rsidRPr="00203C29" w:rsidRDefault="00203C29" w:rsidP="00203C29">
            <w:pPr>
              <w:jc w:val="cente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57</w:t>
            </w:r>
          </w:p>
        </w:tc>
      </w:tr>
      <w:tr w:rsidR="00203C29" w:rsidRPr="00203C29" w14:paraId="6A20D350" w14:textId="77777777" w:rsidTr="00231A95">
        <w:trPr>
          <w:trHeight w:val="480"/>
        </w:trPr>
        <w:tc>
          <w:tcPr>
            <w:tcW w:w="3276" w:type="dxa"/>
            <w:tcBorders>
              <w:top w:val="single" w:sz="8" w:space="0" w:color="000000"/>
              <w:left w:val="single" w:sz="4" w:space="0" w:color="auto"/>
              <w:bottom w:val="single" w:sz="4" w:space="0" w:color="auto"/>
              <w:right w:val="single" w:sz="8" w:space="0" w:color="000000"/>
            </w:tcBorders>
            <w:shd w:val="clear" w:color="auto" w:fill="auto"/>
            <w:vAlign w:val="center"/>
            <w:hideMark/>
          </w:tcPr>
          <w:p w14:paraId="5279EF2B"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Ταμειακό Υπόλοιπο Αρχή Χρονιάς</w:t>
            </w:r>
          </w:p>
        </w:tc>
        <w:tc>
          <w:tcPr>
            <w:tcW w:w="1984" w:type="dxa"/>
            <w:tcBorders>
              <w:top w:val="single" w:sz="8" w:space="0" w:color="000000"/>
              <w:left w:val="nil"/>
              <w:bottom w:val="single" w:sz="4" w:space="0" w:color="auto"/>
              <w:right w:val="nil"/>
            </w:tcBorders>
            <w:shd w:val="clear" w:color="auto" w:fill="auto"/>
            <w:noWrap/>
            <w:vAlign w:val="bottom"/>
            <w:hideMark/>
          </w:tcPr>
          <w:p w14:paraId="2AD92428" w14:textId="77777777" w:rsidR="00203C29" w:rsidRPr="00203C29" w:rsidRDefault="00203C29" w:rsidP="00203C29">
            <w:pPr>
              <w:rPr>
                <w:rFonts w:ascii="Calibri" w:eastAsia="Times New Roman" w:hAnsi="Calibri" w:cs="Times New Roman"/>
                <w:color w:val="000000"/>
                <w:lang w:val="el-GR" w:eastAsia="el-GR"/>
              </w:rPr>
            </w:pPr>
          </w:p>
        </w:tc>
        <w:tc>
          <w:tcPr>
            <w:tcW w:w="1843" w:type="dxa"/>
            <w:tcBorders>
              <w:top w:val="single" w:sz="8" w:space="0" w:color="000000"/>
              <w:left w:val="nil"/>
              <w:bottom w:val="single" w:sz="4" w:space="0" w:color="auto"/>
              <w:right w:val="nil"/>
            </w:tcBorders>
            <w:shd w:val="clear" w:color="auto" w:fill="auto"/>
            <w:noWrap/>
            <w:vAlign w:val="bottom"/>
            <w:hideMark/>
          </w:tcPr>
          <w:p w14:paraId="674CDCB5"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412 εκ</w:t>
            </w:r>
          </w:p>
        </w:tc>
        <w:tc>
          <w:tcPr>
            <w:tcW w:w="1559" w:type="dxa"/>
            <w:tcBorders>
              <w:top w:val="single" w:sz="8" w:space="0" w:color="000000"/>
              <w:left w:val="nil"/>
              <w:bottom w:val="single" w:sz="4" w:space="0" w:color="auto"/>
              <w:right w:val="single" w:sz="4" w:space="0" w:color="auto"/>
            </w:tcBorders>
            <w:shd w:val="clear" w:color="auto" w:fill="auto"/>
            <w:noWrap/>
            <w:vAlign w:val="bottom"/>
            <w:hideMark/>
          </w:tcPr>
          <w:p w14:paraId="0ABC0537" w14:textId="77777777" w:rsidR="00203C29" w:rsidRPr="00203C29" w:rsidRDefault="00203C29" w:rsidP="00203C29">
            <w:pPr>
              <w:rPr>
                <w:rFonts w:ascii="Calibri" w:eastAsia="Times New Roman" w:hAnsi="Calibri" w:cs="Times New Roman"/>
                <w:color w:val="000000"/>
                <w:szCs w:val="18"/>
                <w:lang w:val="el-GR" w:eastAsia="el-GR"/>
              </w:rPr>
            </w:pPr>
            <w:r w:rsidRPr="00203C29">
              <w:rPr>
                <w:rFonts w:ascii="Calibri" w:eastAsia="Times New Roman" w:hAnsi="Calibri" w:cs="Times New Roman"/>
                <w:color w:val="000000"/>
                <w:szCs w:val="18"/>
                <w:lang w:val="el-GR" w:eastAsia="el-GR"/>
              </w:rPr>
              <w:t>143 εκ.</w:t>
            </w:r>
          </w:p>
        </w:tc>
      </w:tr>
    </w:tbl>
    <w:p w14:paraId="5A803AB3" w14:textId="77777777" w:rsidR="007D7CF9" w:rsidRDefault="007D7CF9" w:rsidP="001640F7">
      <w:pPr>
        <w:spacing w:before="120" w:after="120" w:line="360" w:lineRule="auto"/>
        <w:rPr>
          <w:rFonts w:asciiTheme="majorHAnsi" w:hAnsiTheme="majorHAnsi"/>
          <w:sz w:val="22"/>
          <w:lang w:val="el-GR"/>
        </w:rPr>
      </w:pPr>
    </w:p>
    <w:p w14:paraId="0EAF3867" w14:textId="765E68E4" w:rsidR="00C00D72" w:rsidRDefault="00C00D72" w:rsidP="00A36F3A">
      <w:pPr>
        <w:spacing w:before="120" w:after="120" w:line="360" w:lineRule="auto"/>
        <w:jc w:val="both"/>
        <w:rPr>
          <w:rFonts w:asciiTheme="majorHAnsi" w:hAnsiTheme="majorHAnsi"/>
          <w:sz w:val="22"/>
          <w:lang w:val="el-GR"/>
        </w:rPr>
      </w:pPr>
      <w:r>
        <w:rPr>
          <w:rFonts w:asciiTheme="majorHAnsi" w:hAnsiTheme="majorHAnsi"/>
          <w:sz w:val="22"/>
          <w:lang w:val="el-GR"/>
        </w:rPr>
        <w:lastRenderedPageBreak/>
        <w:t xml:space="preserve">Ο ΕΟΠΥΥ λειτουργεί στο πλαίσιο κλειστών προϋπολογισμών οι οποίοι προβλέπεται </w:t>
      </w:r>
      <w:r w:rsidR="00A36F3A">
        <w:rPr>
          <w:rFonts w:asciiTheme="majorHAnsi" w:hAnsiTheme="majorHAnsi"/>
          <w:sz w:val="22"/>
          <w:lang w:val="el-GR"/>
        </w:rPr>
        <w:t xml:space="preserve">τα προσεχή έτη (2016-2018) </w:t>
      </w:r>
      <w:r>
        <w:rPr>
          <w:rFonts w:asciiTheme="majorHAnsi" w:hAnsiTheme="majorHAnsi"/>
          <w:sz w:val="22"/>
          <w:lang w:val="el-GR"/>
        </w:rPr>
        <w:t xml:space="preserve">να παραμείνουν </w:t>
      </w:r>
      <w:r w:rsidR="00A36F3A">
        <w:rPr>
          <w:rFonts w:asciiTheme="majorHAnsi" w:hAnsiTheme="majorHAnsi"/>
          <w:sz w:val="22"/>
          <w:lang w:val="el-GR"/>
        </w:rPr>
        <w:t>στο ίδιο επίπεδο με τα μεγέθη του 2015, όπως προκύπτει από την υπ.’ αριθμ. Γ3γ/70907 (ΦΕΚ Β’ 2059/18.09.2015) Υπουργική Απόφαση.</w:t>
      </w:r>
    </w:p>
    <w:p w14:paraId="6F5A8007" w14:textId="77777777" w:rsidR="00B47765" w:rsidRDefault="00B47765" w:rsidP="00A36F3A">
      <w:pPr>
        <w:spacing w:before="120" w:after="120" w:line="360" w:lineRule="auto"/>
        <w:jc w:val="both"/>
        <w:rPr>
          <w:rFonts w:asciiTheme="majorHAnsi" w:hAnsiTheme="majorHAnsi"/>
          <w:sz w:val="22"/>
          <w:lang w:val="el-GR"/>
        </w:rPr>
      </w:pPr>
    </w:p>
    <w:p w14:paraId="15CBC320" w14:textId="1896E1A0" w:rsidR="00721542" w:rsidRPr="00B47765" w:rsidRDefault="00231A95" w:rsidP="00A36F3A">
      <w:pPr>
        <w:spacing w:before="120" w:after="120" w:line="360" w:lineRule="auto"/>
        <w:jc w:val="both"/>
        <w:rPr>
          <w:rFonts w:asciiTheme="majorHAnsi" w:hAnsiTheme="majorHAnsi"/>
          <w:b/>
          <w:sz w:val="22"/>
          <w:lang w:val="el-GR"/>
        </w:rPr>
      </w:pPr>
      <w:r w:rsidRPr="00B47765">
        <w:rPr>
          <w:rFonts w:asciiTheme="majorHAnsi" w:hAnsiTheme="majorHAnsi"/>
          <w:b/>
          <w:sz w:val="22"/>
          <w:lang w:val="el-GR"/>
        </w:rPr>
        <w:t xml:space="preserve">Πίνακας 3. </w:t>
      </w:r>
      <w:r w:rsidR="00B47765">
        <w:rPr>
          <w:rFonts w:asciiTheme="majorHAnsi" w:hAnsiTheme="majorHAnsi"/>
          <w:b/>
          <w:sz w:val="22"/>
          <w:lang w:val="el-GR"/>
        </w:rPr>
        <w:t>Επιτρεπόμενα όρια δαπανών ΕΟΠΥΥ για τις προς αυτόν παρεχόμενες υπηρεσίες υγείας από τους συμβεβλημένους ιδιώτες παρόχους, ανά κατηγορία παρεχόμενης υπηρεσίας</w:t>
      </w:r>
    </w:p>
    <w:tbl>
      <w:tblPr>
        <w:tblStyle w:val="a6"/>
        <w:tblW w:w="0" w:type="auto"/>
        <w:tblLook w:val="04A0" w:firstRow="1" w:lastRow="0" w:firstColumn="1" w:lastColumn="0" w:noHBand="0" w:noVBand="1"/>
      </w:tblPr>
      <w:tblGrid>
        <w:gridCol w:w="985"/>
        <w:gridCol w:w="824"/>
        <w:gridCol w:w="3508"/>
        <w:gridCol w:w="1707"/>
        <w:gridCol w:w="1707"/>
      </w:tblGrid>
      <w:tr w:rsidR="00721542" w:rsidRPr="00721542" w14:paraId="4D4AC68D" w14:textId="77777777" w:rsidTr="00B47765">
        <w:tc>
          <w:tcPr>
            <w:tcW w:w="985" w:type="dxa"/>
            <w:shd w:val="clear" w:color="auto" w:fill="D9D9D9" w:themeFill="background1" w:themeFillShade="D9"/>
          </w:tcPr>
          <w:p w14:paraId="24477D13" w14:textId="50B05C6A"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ΚΑΕ</w:t>
            </w:r>
          </w:p>
        </w:tc>
        <w:tc>
          <w:tcPr>
            <w:tcW w:w="824" w:type="dxa"/>
            <w:shd w:val="clear" w:color="auto" w:fill="D9D9D9" w:themeFill="background1" w:themeFillShade="D9"/>
          </w:tcPr>
          <w:p w14:paraId="6595F992" w14:textId="43AA6563"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Ομάδα</w:t>
            </w:r>
          </w:p>
        </w:tc>
        <w:tc>
          <w:tcPr>
            <w:tcW w:w="3508" w:type="dxa"/>
            <w:shd w:val="clear" w:color="auto" w:fill="D9D9D9" w:themeFill="background1" w:themeFillShade="D9"/>
          </w:tcPr>
          <w:p w14:paraId="459454AB" w14:textId="25691720"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Κατηγορία Παρεχόμενης Υπηρεσίας</w:t>
            </w:r>
          </w:p>
        </w:tc>
        <w:tc>
          <w:tcPr>
            <w:tcW w:w="1707" w:type="dxa"/>
            <w:shd w:val="clear" w:color="auto" w:fill="D9D9D9" w:themeFill="background1" w:themeFillShade="D9"/>
          </w:tcPr>
          <w:p w14:paraId="6680FCE9" w14:textId="5A1005C4"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Ετήσιο Όριο Δαπάνης</w:t>
            </w:r>
            <w:r w:rsidR="00721542" w:rsidRPr="00721542">
              <w:rPr>
                <w:rFonts w:asciiTheme="majorHAnsi" w:hAnsiTheme="majorHAnsi"/>
                <w:b/>
                <w:szCs w:val="20"/>
                <w:lang w:val="el-GR"/>
              </w:rPr>
              <w:t xml:space="preserve"> (σε €)</w:t>
            </w:r>
          </w:p>
        </w:tc>
        <w:tc>
          <w:tcPr>
            <w:tcW w:w="1707" w:type="dxa"/>
            <w:shd w:val="clear" w:color="auto" w:fill="D9D9D9" w:themeFill="background1" w:themeFillShade="D9"/>
          </w:tcPr>
          <w:p w14:paraId="7D7359D9" w14:textId="772C45CC"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Μηνιαίο Όριο Δαπάνης</w:t>
            </w:r>
            <w:r w:rsidR="00721542" w:rsidRPr="00721542">
              <w:rPr>
                <w:rFonts w:asciiTheme="majorHAnsi" w:hAnsiTheme="majorHAnsi"/>
                <w:b/>
                <w:szCs w:val="20"/>
                <w:lang w:val="el-GR"/>
              </w:rPr>
              <w:t xml:space="preserve"> (σε €)</w:t>
            </w:r>
          </w:p>
        </w:tc>
      </w:tr>
      <w:tr w:rsidR="00721542" w:rsidRPr="00721542" w14:paraId="4349BDDF" w14:textId="77777777" w:rsidTr="00B47765">
        <w:tc>
          <w:tcPr>
            <w:tcW w:w="985" w:type="dxa"/>
          </w:tcPr>
          <w:p w14:paraId="48AFFEA4" w14:textId="6B7A2C9E" w:rsidR="00A36F3A" w:rsidRPr="00721542" w:rsidRDefault="00A36F3A" w:rsidP="00721542">
            <w:pPr>
              <w:spacing w:line="276" w:lineRule="auto"/>
              <w:rPr>
                <w:rFonts w:asciiTheme="majorHAnsi" w:hAnsiTheme="majorHAnsi"/>
                <w:szCs w:val="20"/>
                <w:lang w:val="el-GR"/>
              </w:rPr>
            </w:pPr>
            <w:r w:rsidRPr="00721542">
              <w:rPr>
                <w:rFonts w:asciiTheme="majorHAnsi" w:hAnsiTheme="majorHAnsi"/>
                <w:szCs w:val="20"/>
                <w:lang w:val="el-GR"/>
              </w:rPr>
              <w:t>0673.01</w:t>
            </w:r>
          </w:p>
        </w:tc>
        <w:tc>
          <w:tcPr>
            <w:tcW w:w="824" w:type="dxa"/>
          </w:tcPr>
          <w:p w14:paraId="22C8B73E" w14:textId="77777777" w:rsidR="00A36F3A" w:rsidRPr="00721542" w:rsidRDefault="00A36F3A" w:rsidP="00721542">
            <w:pPr>
              <w:spacing w:line="276" w:lineRule="auto"/>
              <w:rPr>
                <w:rFonts w:asciiTheme="majorHAnsi" w:hAnsiTheme="majorHAnsi"/>
                <w:szCs w:val="20"/>
                <w:lang w:val="el-GR"/>
              </w:rPr>
            </w:pPr>
          </w:p>
        </w:tc>
        <w:tc>
          <w:tcPr>
            <w:tcW w:w="3508" w:type="dxa"/>
          </w:tcPr>
          <w:p w14:paraId="092A7AF3" w14:textId="64FC237D"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Υπηρεσίες Νοσηλεία Ιδιωτικών Κλινικών</w:t>
            </w:r>
          </w:p>
        </w:tc>
        <w:tc>
          <w:tcPr>
            <w:tcW w:w="1707" w:type="dxa"/>
          </w:tcPr>
          <w:p w14:paraId="3DBB834F" w14:textId="13EECACE"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235.000.000</w:t>
            </w:r>
          </w:p>
        </w:tc>
        <w:tc>
          <w:tcPr>
            <w:tcW w:w="1707" w:type="dxa"/>
          </w:tcPr>
          <w:p w14:paraId="5DA94F08" w14:textId="0F49BCE1"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19.583.333</w:t>
            </w:r>
          </w:p>
        </w:tc>
      </w:tr>
      <w:tr w:rsidR="00721542" w:rsidRPr="00721542" w14:paraId="770BEDC6" w14:textId="77777777" w:rsidTr="00B47765">
        <w:tc>
          <w:tcPr>
            <w:tcW w:w="985" w:type="dxa"/>
          </w:tcPr>
          <w:p w14:paraId="7F05F74A" w14:textId="490EA255" w:rsidR="00A36F3A" w:rsidRPr="00721542" w:rsidRDefault="00A36F3A" w:rsidP="00721542">
            <w:pPr>
              <w:spacing w:line="276" w:lineRule="auto"/>
              <w:rPr>
                <w:rFonts w:asciiTheme="majorHAnsi" w:hAnsiTheme="majorHAnsi"/>
                <w:szCs w:val="20"/>
                <w:lang w:val="el-GR"/>
              </w:rPr>
            </w:pPr>
            <w:r w:rsidRPr="00721542">
              <w:rPr>
                <w:rFonts w:asciiTheme="majorHAnsi" w:hAnsiTheme="majorHAnsi"/>
                <w:szCs w:val="20"/>
                <w:lang w:val="el-GR"/>
              </w:rPr>
              <w:t>0673.03</w:t>
            </w:r>
          </w:p>
        </w:tc>
        <w:tc>
          <w:tcPr>
            <w:tcW w:w="824" w:type="dxa"/>
          </w:tcPr>
          <w:p w14:paraId="22ECC593" w14:textId="77777777" w:rsidR="00A36F3A" w:rsidRPr="00721542" w:rsidRDefault="00A36F3A" w:rsidP="00721542">
            <w:pPr>
              <w:spacing w:line="276" w:lineRule="auto"/>
              <w:rPr>
                <w:rFonts w:asciiTheme="majorHAnsi" w:hAnsiTheme="majorHAnsi"/>
                <w:szCs w:val="20"/>
                <w:lang w:val="el-GR"/>
              </w:rPr>
            </w:pPr>
          </w:p>
        </w:tc>
        <w:tc>
          <w:tcPr>
            <w:tcW w:w="3508" w:type="dxa"/>
          </w:tcPr>
          <w:p w14:paraId="70645D42" w14:textId="770FB3F3"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Υπηρεσίες Κέντρων Αποκατάστασης και Αποθεραπείας Κλειστής Περίθαλψης</w:t>
            </w:r>
          </w:p>
        </w:tc>
        <w:tc>
          <w:tcPr>
            <w:tcW w:w="1707" w:type="dxa"/>
          </w:tcPr>
          <w:p w14:paraId="555AAA68" w14:textId="4AE6FEE0"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51.000.000</w:t>
            </w:r>
          </w:p>
        </w:tc>
        <w:tc>
          <w:tcPr>
            <w:tcW w:w="1707" w:type="dxa"/>
          </w:tcPr>
          <w:p w14:paraId="12483452" w14:textId="1ADFB9D7"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4.250.000</w:t>
            </w:r>
          </w:p>
        </w:tc>
      </w:tr>
      <w:tr w:rsidR="00721542" w:rsidRPr="00721542" w14:paraId="7C8458EB" w14:textId="77777777" w:rsidTr="00B47765">
        <w:tc>
          <w:tcPr>
            <w:tcW w:w="985" w:type="dxa"/>
          </w:tcPr>
          <w:p w14:paraId="1FADC9C8" w14:textId="51767750" w:rsidR="00A36F3A" w:rsidRPr="00721542" w:rsidRDefault="00A36F3A" w:rsidP="00721542">
            <w:pPr>
              <w:spacing w:line="276" w:lineRule="auto"/>
              <w:rPr>
                <w:rFonts w:asciiTheme="majorHAnsi" w:hAnsiTheme="majorHAnsi"/>
                <w:szCs w:val="20"/>
                <w:lang w:val="el-GR"/>
              </w:rPr>
            </w:pPr>
            <w:r w:rsidRPr="00721542">
              <w:rPr>
                <w:rFonts w:asciiTheme="majorHAnsi" w:hAnsiTheme="majorHAnsi"/>
                <w:szCs w:val="20"/>
                <w:lang w:val="el-GR"/>
              </w:rPr>
              <w:t>0673.04</w:t>
            </w:r>
          </w:p>
        </w:tc>
        <w:tc>
          <w:tcPr>
            <w:tcW w:w="824" w:type="dxa"/>
          </w:tcPr>
          <w:p w14:paraId="6922B314" w14:textId="77777777" w:rsidR="00A36F3A" w:rsidRPr="00721542" w:rsidRDefault="00A36F3A" w:rsidP="00721542">
            <w:pPr>
              <w:spacing w:line="276" w:lineRule="auto"/>
              <w:rPr>
                <w:rFonts w:asciiTheme="majorHAnsi" w:hAnsiTheme="majorHAnsi"/>
                <w:szCs w:val="20"/>
                <w:lang w:val="el-GR"/>
              </w:rPr>
            </w:pPr>
          </w:p>
        </w:tc>
        <w:tc>
          <w:tcPr>
            <w:tcW w:w="3508" w:type="dxa"/>
          </w:tcPr>
          <w:p w14:paraId="733CF3A8" w14:textId="5F456371"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Υπηρεσίες Νοσηλείας Ιδιωτικών Κλινικών Ψυχιατρικής</w:t>
            </w:r>
          </w:p>
        </w:tc>
        <w:tc>
          <w:tcPr>
            <w:tcW w:w="1707" w:type="dxa"/>
          </w:tcPr>
          <w:p w14:paraId="045C7BBB" w14:textId="1ACCC081"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45.000.000</w:t>
            </w:r>
          </w:p>
        </w:tc>
        <w:tc>
          <w:tcPr>
            <w:tcW w:w="1707" w:type="dxa"/>
          </w:tcPr>
          <w:p w14:paraId="6B03669C" w14:textId="13E92621"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3.750.000</w:t>
            </w:r>
          </w:p>
        </w:tc>
      </w:tr>
      <w:tr w:rsidR="00653609" w:rsidRPr="00721542" w14:paraId="45319C40" w14:textId="77777777" w:rsidTr="00B47765">
        <w:tc>
          <w:tcPr>
            <w:tcW w:w="985" w:type="dxa"/>
            <w:vMerge w:val="restart"/>
          </w:tcPr>
          <w:p w14:paraId="7C541F16" w14:textId="48CC0922"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0673.05</w:t>
            </w:r>
          </w:p>
        </w:tc>
        <w:tc>
          <w:tcPr>
            <w:tcW w:w="824" w:type="dxa"/>
          </w:tcPr>
          <w:p w14:paraId="4239889A" w14:textId="6F3750B4"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Α1</w:t>
            </w:r>
          </w:p>
        </w:tc>
        <w:tc>
          <w:tcPr>
            <w:tcW w:w="3508" w:type="dxa"/>
          </w:tcPr>
          <w:p w14:paraId="343A4E4B" w14:textId="757535CD"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Φορείς Υποστήριξης Αναπηρίας κερδοσκοπικού χαρακτήρα</w:t>
            </w:r>
          </w:p>
        </w:tc>
        <w:tc>
          <w:tcPr>
            <w:tcW w:w="1707" w:type="dxa"/>
          </w:tcPr>
          <w:p w14:paraId="3BDA5EA0" w14:textId="3C01C245"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3.000.000</w:t>
            </w:r>
          </w:p>
        </w:tc>
        <w:tc>
          <w:tcPr>
            <w:tcW w:w="1707" w:type="dxa"/>
          </w:tcPr>
          <w:p w14:paraId="436CEFA0" w14:textId="72687C3A"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250.000</w:t>
            </w:r>
          </w:p>
        </w:tc>
      </w:tr>
      <w:tr w:rsidR="00653609" w:rsidRPr="00721542" w14:paraId="1710B048" w14:textId="77777777" w:rsidTr="00B47765">
        <w:tc>
          <w:tcPr>
            <w:tcW w:w="985" w:type="dxa"/>
            <w:vMerge/>
          </w:tcPr>
          <w:p w14:paraId="1B4415E6" w14:textId="7CE5EEE1" w:rsidR="00653609" w:rsidRPr="00721542" w:rsidRDefault="00653609" w:rsidP="00721542">
            <w:pPr>
              <w:spacing w:line="276" w:lineRule="auto"/>
              <w:rPr>
                <w:rFonts w:asciiTheme="majorHAnsi" w:hAnsiTheme="majorHAnsi"/>
                <w:szCs w:val="20"/>
                <w:lang w:val="el-GR"/>
              </w:rPr>
            </w:pPr>
          </w:p>
        </w:tc>
        <w:tc>
          <w:tcPr>
            <w:tcW w:w="824" w:type="dxa"/>
          </w:tcPr>
          <w:p w14:paraId="1E08D972" w14:textId="5E519A8B"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Α2</w:t>
            </w:r>
          </w:p>
        </w:tc>
        <w:tc>
          <w:tcPr>
            <w:tcW w:w="3508" w:type="dxa"/>
          </w:tcPr>
          <w:p w14:paraId="548AA96E" w14:textId="1E6B42CF"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Φορείς Υποστήριξης Αναπηρίας μη κερδοσκοπικού χαρακτήρα</w:t>
            </w:r>
          </w:p>
        </w:tc>
        <w:tc>
          <w:tcPr>
            <w:tcW w:w="1707" w:type="dxa"/>
          </w:tcPr>
          <w:p w14:paraId="6692B195" w14:textId="2A86ADC1"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50.000.000</w:t>
            </w:r>
          </w:p>
        </w:tc>
        <w:tc>
          <w:tcPr>
            <w:tcW w:w="1707" w:type="dxa"/>
          </w:tcPr>
          <w:p w14:paraId="24B38C0E" w14:textId="2D72BEC6"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4.166.667</w:t>
            </w:r>
          </w:p>
        </w:tc>
      </w:tr>
      <w:tr w:rsidR="00721542" w:rsidRPr="00721542" w14:paraId="4D91CE37" w14:textId="77777777" w:rsidTr="00B47765">
        <w:tc>
          <w:tcPr>
            <w:tcW w:w="985" w:type="dxa"/>
          </w:tcPr>
          <w:p w14:paraId="764780A9" w14:textId="35CF3EBC" w:rsidR="00A36F3A" w:rsidRPr="00721542" w:rsidRDefault="00A36F3A" w:rsidP="00721542">
            <w:pPr>
              <w:spacing w:line="276" w:lineRule="auto"/>
              <w:rPr>
                <w:rFonts w:asciiTheme="majorHAnsi" w:hAnsiTheme="majorHAnsi"/>
                <w:szCs w:val="20"/>
                <w:lang w:val="el-GR"/>
              </w:rPr>
            </w:pPr>
            <w:r w:rsidRPr="00721542">
              <w:rPr>
                <w:rFonts w:asciiTheme="majorHAnsi" w:hAnsiTheme="majorHAnsi"/>
                <w:szCs w:val="20"/>
                <w:lang w:val="el-GR"/>
              </w:rPr>
              <w:t>ΣΥΝΟΛΑ</w:t>
            </w:r>
          </w:p>
        </w:tc>
        <w:tc>
          <w:tcPr>
            <w:tcW w:w="824" w:type="dxa"/>
          </w:tcPr>
          <w:p w14:paraId="301FD0AD" w14:textId="77777777" w:rsidR="00A36F3A" w:rsidRPr="00721542" w:rsidRDefault="00A36F3A" w:rsidP="00721542">
            <w:pPr>
              <w:spacing w:line="276" w:lineRule="auto"/>
              <w:rPr>
                <w:rFonts w:asciiTheme="majorHAnsi" w:hAnsiTheme="majorHAnsi"/>
                <w:szCs w:val="20"/>
                <w:lang w:val="el-GR"/>
              </w:rPr>
            </w:pPr>
          </w:p>
        </w:tc>
        <w:tc>
          <w:tcPr>
            <w:tcW w:w="3508" w:type="dxa"/>
          </w:tcPr>
          <w:p w14:paraId="4F954B4C" w14:textId="77777777" w:rsidR="00A36F3A" w:rsidRPr="00721542" w:rsidRDefault="00A36F3A" w:rsidP="00721542">
            <w:pPr>
              <w:spacing w:line="276" w:lineRule="auto"/>
              <w:rPr>
                <w:rFonts w:asciiTheme="majorHAnsi" w:hAnsiTheme="majorHAnsi"/>
                <w:szCs w:val="20"/>
                <w:lang w:val="el-GR"/>
              </w:rPr>
            </w:pPr>
          </w:p>
        </w:tc>
        <w:tc>
          <w:tcPr>
            <w:tcW w:w="1707" w:type="dxa"/>
          </w:tcPr>
          <w:p w14:paraId="2D768345" w14:textId="0BC4930B"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384.000.000</w:t>
            </w:r>
          </w:p>
        </w:tc>
        <w:tc>
          <w:tcPr>
            <w:tcW w:w="1707" w:type="dxa"/>
          </w:tcPr>
          <w:p w14:paraId="3696ADAE" w14:textId="260D7598"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32.000.000</w:t>
            </w:r>
          </w:p>
        </w:tc>
      </w:tr>
      <w:tr w:rsidR="00721542" w:rsidRPr="00721542" w14:paraId="5F2F2092" w14:textId="77777777" w:rsidTr="00B47765">
        <w:tc>
          <w:tcPr>
            <w:tcW w:w="985" w:type="dxa"/>
            <w:shd w:val="clear" w:color="auto" w:fill="D9D9D9" w:themeFill="background1" w:themeFillShade="D9"/>
          </w:tcPr>
          <w:p w14:paraId="6DA1044C" w14:textId="6AA68803"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ΚΑΕ</w:t>
            </w:r>
          </w:p>
        </w:tc>
        <w:tc>
          <w:tcPr>
            <w:tcW w:w="824" w:type="dxa"/>
            <w:shd w:val="clear" w:color="auto" w:fill="D9D9D9" w:themeFill="background1" w:themeFillShade="D9"/>
          </w:tcPr>
          <w:p w14:paraId="552EBC2A" w14:textId="7C5F43DA"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Ομάδα</w:t>
            </w:r>
          </w:p>
        </w:tc>
        <w:tc>
          <w:tcPr>
            <w:tcW w:w="3508" w:type="dxa"/>
            <w:shd w:val="clear" w:color="auto" w:fill="D9D9D9" w:themeFill="background1" w:themeFillShade="D9"/>
          </w:tcPr>
          <w:p w14:paraId="7CF5681A" w14:textId="073BD991"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Κατηγορία Παρεχόμενης Υπηρεσίας</w:t>
            </w:r>
          </w:p>
        </w:tc>
        <w:tc>
          <w:tcPr>
            <w:tcW w:w="1707" w:type="dxa"/>
            <w:shd w:val="clear" w:color="auto" w:fill="D9D9D9" w:themeFill="background1" w:themeFillShade="D9"/>
          </w:tcPr>
          <w:p w14:paraId="6DA7AD45" w14:textId="1E163FDB"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Ετήσιο Όριο Δαπάνης</w:t>
            </w:r>
          </w:p>
        </w:tc>
        <w:tc>
          <w:tcPr>
            <w:tcW w:w="1707" w:type="dxa"/>
            <w:shd w:val="clear" w:color="auto" w:fill="D9D9D9" w:themeFill="background1" w:themeFillShade="D9"/>
          </w:tcPr>
          <w:p w14:paraId="54AF2BC6" w14:textId="569C8687" w:rsidR="00A36F3A" w:rsidRPr="00721542" w:rsidRDefault="00A36F3A" w:rsidP="00721542">
            <w:pPr>
              <w:spacing w:line="276" w:lineRule="auto"/>
              <w:rPr>
                <w:rFonts w:asciiTheme="majorHAnsi" w:hAnsiTheme="majorHAnsi"/>
                <w:b/>
                <w:szCs w:val="20"/>
                <w:lang w:val="el-GR"/>
              </w:rPr>
            </w:pPr>
            <w:r w:rsidRPr="00721542">
              <w:rPr>
                <w:rFonts w:asciiTheme="majorHAnsi" w:hAnsiTheme="majorHAnsi"/>
                <w:b/>
                <w:szCs w:val="20"/>
                <w:lang w:val="el-GR"/>
              </w:rPr>
              <w:t>Μηνιαίο Όριο Δαπάνης</w:t>
            </w:r>
          </w:p>
        </w:tc>
      </w:tr>
      <w:tr w:rsidR="00721542" w:rsidRPr="00721542" w14:paraId="6F1CA6D5" w14:textId="77777777" w:rsidTr="00B47765">
        <w:tc>
          <w:tcPr>
            <w:tcW w:w="985" w:type="dxa"/>
          </w:tcPr>
          <w:p w14:paraId="2E01727B" w14:textId="11BCD381" w:rsidR="00A36F3A" w:rsidRPr="00721542" w:rsidRDefault="00A36F3A" w:rsidP="00721542">
            <w:pPr>
              <w:spacing w:line="276" w:lineRule="auto"/>
              <w:rPr>
                <w:rFonts w:asciiTheme="majorHAnsi" w:hAnsiTheme="majorHAnsi"/>
                <w:szCs w:val="20"/>
                <w:lang w:val="el-GR"/>
              </w:rPr>
            </w:pPr>
            <w:r w:rsidRPr="00721542">
              <w:rPr>
                <w:rFonts w:asciiTheme="majorHAnsi" w:hAnsiTheme="majorHAnsi"/>
                <w:szCs w:val="20"/>
                <w:lang w:val="el-GR"/>
              </w:rPr>
              <w:t>0671.01</w:t>
            </w:r>
          </w:p>
        </w:tc>
        <w:tc>
          <w:tcPr>
            <w:tcW w:w="824" w:type="dxa"/>
          </w:tcPr>
          <w:p w14:paraId="0891B2AD" w14:textId="4326D4D3"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Β1</w:t>
            </w:r>
          </w:p>
        </w:tc>
        <w:tc>
          <w:tcPr>
            <w:tcW w:w="3508" w:type="dxa"/>
          </w:tcPr>
          <w:p w14:paraId="58805017" w14:textId="0D2B550C"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Διαγνωστικές Υπηρεσίες και πράξεις Διαγνωστικών Εργαστηρίων (εταιρείες, κλινικές, ιδιώτες)</w:t>
            </w:r>
          </w:p>
        </w:tc>
        <w:tc>
          <w:tcPr>
            <w:tcW w:w="1707" w:type="dxa"/>
          </w:tcPr>
          <w:p w14:paraId="4D8D79DE" w14:textId="0A3BE116"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302.000.000</w:t>
            </w:r>
          </w:p>
        </w:tc>
        <w:tc>
          <w:tcPr>
            <w:tcW w:w="1707" w:type="dxa"/>
          </w:tcPr>
          <w:p w14:paraId="4789089F" w14:textId="3636C9F5"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25.166.667</w:t>
            </w:r>
          </w:p>
        </w:tc>
      </w:tr>
      <w:tr w:rsidR="00721542" w:rsidRPr="00721542" w14:paraId="44D167CF" w14:textId="77777777" w:rsidTr="00B47765">
        <w:tc>
          <w:tcPr>
            <w:tcW w:w="985" w:type="dxa"/>
          </w:tcPr>
          <w:p w14:paraId="393928DF" w14:textId="77777777" w:rsidR="00A36F3A" w:rsidRPr="00721542" w:rsidRDefault="00A36F3A" w:rsidP="00721542">
            <w:pPr>
              <w:spacing w:line="276" w:lineRule="auto"/>
              <w:rPr>
                <w:rFonts w:asciiTheme="majorHAnsi" w:hAnsiTheme="majorHAnsi"/>
                <w:szCs w:val="20"/>
                <w:lang w:val="el-GR"/>
              </w:rPr>
            </w:pPr>
          </w:p>
        </w:tc>
        <w:tc>
          <w:tcPr>
            <w:tcW w:w="824" w:type="dxa"/>
          </w:tcPr>
          <w:p w14:paraId="60E1D7A4" w14:textId="43BF7C91"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Β2</w:t>
            </w:r>
          </w:p>
        </w:tc>
        <w:tc>
          <w:tcPr>
            <w:tcW w:w="3508" w:type="dxa"/>
          </w:tcPr>
          <w:p w14:paraId="531A863E" w14:textId="2B19721F"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Ιατροί κατά πράξη και περίπτωση (κατηγορία Α) με ειδικότητα καρδιολογία, γαστρεντερολογία, νευρολογία, γυναικολογία και φυσιατρική</w:t>
            </w:r>
          </w:p>
        </w:tc>
        <w:tc>
          <w:tcPr>
            <w:tcW w:w="1707" w:type="dxa"/>
          </w:tcPr>
          <w:p w14:paraId="3B9CE64B" w14:textId="6EEE81FC"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18.000.000</w:t>
            </w:r>
          </w:p>
        </w:tc>
        <w:tc>
          <w:tcPr>
            <w:tcW w:w="1707" w:type="dxa"/>
          </w:tcPr>
          <w:p w14:paraId="0D3BA90F" w14:textId="4EFD9369"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1.500.000</w:t>
            </w:r>
          </w:p>
        </w:tc>
      </w:tr>
      <w:tr w:rsidR="00721542" w:rsidRPr="00721542" w14:paraId="73054F22" w14:textId="77777777" w:rsidTr="00B47765">
        <w:tc>
          <w:tcPr>
            <w:tcW w:w="985" w:type="dxa"/>
          </w:tcPr>
          <w:p w14:paraId="3088555B" w14:textId="77777777" w:rsidR="00A36F3A" w:rsidRPr="00721542" w:rsidRDefault="00A36F3A" w:rsidP="00721542">
            <w:pPr>
              <w:spacing w:line="276" w:lineRule="auto"/>
              <w:rPr>
                <w:rFonts w:asciiTheme="majorHAnsi" w:hAnsiTheme="majorHAnsi"/>
                <w:szCs w:val="20"/>
                <w:lang w:val="el-GR"/>
              </w:rPr>
            </w:pPr>
          </w:p>
        </w:tc>
        <w:tc>
          <w:tcPr>
            <w:tcW w:w="824" w:type="dxa"/>
          </w:tcPr>
          <w:p w14:paraId="793F3FC6" w14:textId="241A9F51"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Β3</w:t>
            </w:r>
          </w:p>
        </w:tc>
        <w:tc>
          <w:tcPr>
            <w:tcW w:w="3508" w:type="dxa"/>
          </w:tcPr>
          <w:p w14:paraId="0A7E8638" w14:textId="1DDA622D"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Ιατροί κατά πράξη και περίπτωση (κατηγορία Β) με λοιπές ειδικότητες που δεν ορίζονται στο στοιχείο Β2</w:t>
            </w:r>
          </w:p>
        </w:tc>
        <w:tc>
          <w:tcPr>
            <w:tcW w:w="1707" w:type="dxa"/>
          </w:tcPr>
          <w:p w14:paraId="32EFCC6A" w14:textId="710D0E84"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8.100.000</w:t>
            </w:r>
          </w:p>
        </w:tc>
        <w:tc>
          <w:tcPr>
            <w:tcW w:w="1707" w:type="dxa"/>
          </w:tcPr>
          <w:p w14:paraId="3481CF95" w14:textId="1CF2C2F5" w:rsidR="00A36F3A"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675.000</w:t>
            </w:r>
          </w:p>
        </w:tc>
      </w:tr>
      <w:tr w:rsidR="00721542" w:rsidRPr="00721542" w14:paraId="59B05BB4" w14:textId="77777777" w:rsidTr="00B47765">
        <w:tc>
          <w:tcPr>
            <w:tcW w:w="985" w:type="dxa"/>
          </w:tcPr>
          <w:p w14:paraId="2DB9BA8C" w14:textId="140AAB5F"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0671.02</w:t>
            </w:r>
          </w:p>
        </w:tc>
        <w:tc>
          <w:tcPr>
            <w:tcW w:w="824" w:type="dxa"/>
          </w:tcPr>
          <w:p w14:paraId="4936559D" w14:textId="2C5EBBB2" w:rsidR="00653609" w:rsidRPr="00721542" w:rsidRDefault="00653609" w:rsidP="00721542">
            <w:pPr>
              <w:spacing w:line="276" w:lineRule="auto"/>
              <w:rPr>
                <w:rFonts w:asciiTheme="majorHAnsi" w:hAnsiTheme="majorHAnsi"/>
                <w:szCs w:val="20"/>
              </w:rPr>
            </w:pPr>
            <w:r w:rsidRPr="00721542">
              <w:rPr>
                <w:rFonts w:asciiTheme="majorHAnsi" w:hAnsiTheme="majorHAnsi"/>
                <w:szCs w:val="20"/>
              </w:rPr>
              <w:t>C1</w:t>
            </w:r>
          </w:p>
        </w:tc>
        <w:tc>
          <w:tcPr>
            <w:tcW w:w="3508" w:type="dxa"/>
          </w:tcPr>
          <w:p w14:paraId="447F502F" w14:textId="101A27F2"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Φυσικοθεραπευτήρια και Φυσικοθεραπευτές (Ιδιώτες και Εταιρείες)</w:t>
            </w:r>
          </w:p>
        </w:tc>
        <w:tc>
          <w:tcPr>
            <w:tcW w:w="1707" w:type="dxa"/>
          </w:tcPr>
          <w:p w14:paraId="63340758" w14:textId="282E0526"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62.000.000</w:t>
            </w:r>
          </w:p>
        </w:tc>
        <w:tc>
          <w:tcPr>
            <w:tcW w:w="1707" w:type="dxa"/>
          </w:tcPr>
          <w:p w14:paraId="5E0AA6DD" w14:textId="08885BF9"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5.166.667</w:t>
            </w:r>
          </w:p>
        </w:tc>
      </w:tr>
      <w:tr w:rsidR="00721542" w:rsidRPr="00721542" w14:paraId="0CFC0DDC" w14:textId="77777777" w:rsidTr="00B47765">
        <w:tc>
          <w:tcPr>
            <w:tcW w:w="985" w:type="dxa"/>
          </w:tcPr>
          <w:p w14:paraId="5DBAE60D" w14:textId="77777777" w:rsidR="00653609" w:rsidRPr="00721542" w:rsidRDefault="00653609" w:rsidP="00721542">
            <w:pPr>
              <w:spacing w:line="276" w:lineRule="auto"/>
              <w:rPr>
                <w:rFonts w:asciiTheme="majorHAnsi" w:hAnsiTheme="majorHAnsi"/>
                <w:szCs w:val="20"/>
                <w:lang w:val="el-GR"/>
              </w:rPr>
            </w:pPr>
          </w:p>
        </w:tc>
        <w:tc>
          <w:tcPr>
            <w:tcW w:w="824" w:type="dxa"/>
          </w:tcPr>
          <w:p w14:paraId="66185C82" w14:textId="49536A43" w:rsidR="00653609" w:rsidRPr="00721542" w:rsidRDefault="00653609" w:rsidP="00721542">
            <w:pPr>
              <w:spacing w:line="276" w:lineRule="auto"/>
              <w:rPr>
                <w:rFonts w:asciiTheme="majorHAnsi" w:hAnsiTheme="majorHAnsi"/>
                <w:szCs w:val="20"/>
              </w:rPr>
            </w:pPr>
            <w:r w:rsidRPr="00721542">
              <w:rPr>
                <w:rFonts w:asciiTheme="majorHAnsi" w:hAnsiTheme="majorHAnsi"/>
                <w:szCs w:val="20"/>
              </w:rPr>
              <w:t>C2</w:t>
            </w:r>
          </w:p>
        </w:tc>
        <w:tc>
          <w:tcPr>
            <w:tcW w:w="3508" w:type="dxa"/>
          </w:tcPr>
          <w:p w14:paraId="4FA1D49F" w14:textId="5B8C153A"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Υπηρεσίες Κέντρων Αποκατάστασης και Αποθεραπείας Ανοιχτής Περίθλψης</w:t>
            </w:r>
          </w:p>
        </w:tc>
        <w:tc>
          <w:tcPr>
            <w:tcW w:w="1707" w:type="dxa"/>
          </w:tcPr>
          <w:p w14:paraId="0E66B919" w14:textId="723D18C6"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6.000.000</w:t>
            </w:r>
          </w:p>
        </w:tc>
        <w:tc>
          <w:tcPr>
            <w:tcW w:w="1707" w:type="dxa"/>
          </w:tcPr>
          <w:p w14:paraId="15D7A5B0" w14:textId="2CEC6269"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500.000</w:t>
            </w:r>
          </w:p>
        </w:tc>
      </w:tr>
      <w:tr w:rsidR="00721542" w:rsidRPr="00721542" w14:paraId="0B4E2A10" w14:textId="77777777" w:rsidTr="00B47765">
        <w:tc>
          <w:tcPr>
            <w:tcW w:w="985" w:type="dxa"/>
          </w:tcPr>
          <w:p w14:paraId="3CAC57E3" w14:textId="785D1521"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0671.03</w:t>
            </w:r>
          </w:p>
        </w:tc>
        <w:tc>
          <w:tcPr>
            <w:tcW w:w="824" w:type="dxa"/>
          </w:tcPr>
          <w:p w14:paraId="3AB46453" w14:textId="77777777" w:rsidR="00653609" w:rsidRPr="00721542" w:rsidRDefault="00653609" w:rsidP="00721542">
            <w:pPr>
              <w:spacing w:line="276" w:lineRule="auto"/>
              <w:rPr>
                <w:rFonts w:asciiTheme="majorHAnsi" w:hAnsiTheme="majorHAnsi"/>
                <w:szCs w:val="20"/>
                <w:lang w:val="el-GR"/>
              </w:rPr>
            </w:pPr>
          </w:p>
        </w:tc>
        <w:tc>
          <w:tcPr>
            <w:tcW w:w="3508" w:type="dxa"/>
          </w:tcPr>
          <w:p w14:paraId="35799B38" w14:textId="46AEC4E2"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Υπηρεσίες Μονάδων Χρόνιας Αιμοκάθαρσης και Μονάδων Τεχνητού Νεφρού</w:t>
            </w:r>
          </w:p>
        </w:tc>
        <w:tc>
          <w:tcPr>
            <w:tcW w:w="1707" w:type="dxa"/>
          </w:tcPr>
          <w:p w14:paraId="15448FBC" w14:textId="03882100"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110.000.000</w:t>
            </w:r>
          </w:p>
        </w:tc>
        <w:tc>
          <w:tcPr>
            <w:tcW w:w="1707" w:type="dxa"/>
          </w:tcPr>
          <w:p w14:paraId="024AD15A" w14:textId="1866C216"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9.166.667</w:t>
            </w:r>
          </w:p>
        </w:tc>
      </w:tr>
      <w:tr w:rsidR="00653609" w:rsidRPr="00721542" w14:paraId="0B1CDADC" w14:textId="77777777" w:rsidTr="00B47765">
        <w:tc>
          <w:tcPr>
            <w:tcW w:w="985" w:type="dxa"/>
          </w:tcPr>
          <w:p w14:paraId="37BA6F66" w14:textId="6D04D12F"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ΣΥΝΟΛΟ</w:t>
            </w:r>
          </w:p>
        </w:tc>
        <w:tc>
          <w:tcPr>
            <w:tcW w:w="824" w:type="dxa"/>
          </w:tcPr>
          <w:p w14:paraId="06507F43" w14:textId="77777777" w:rsidR="00653609" w:rsidRPr="00721542" w:rsidRDefault="00653609" w:rsidP="00721542">
            <w:pPr>
              <w:spacing w:line="276" w:lineRule="auto"/>
              <w:rPr>
                <w:rFonts w:asciiTheme="majorHAnsi" w:hAnsiTheme="majorHAnsi"/>
                <w:szCs w:val="20"/>
                <w:lang w:val="el-GR"/>
              </w:rPr>
            </w:pPr>
          </w:p>
        </w:tc>
        <w:tc>
          <w:tcPr>
            <w:tcW w:w="3508" w:type="dxa"/>
          </w:tcPr>
          <w:p w14:paraId="592EF3B2" w14:textId="77777777" w:rsidR="00653609" w:rsidRPr="00721542" w:rsidRDefault="00653609" w:rsidP="00721542">
            <w:pPr>
              <w:spacing w:line="276" w:lineRule="auto"/>
              <w:rPr>
                <w:rFonts w:asciiTheme="majorHAnsi" w:hAnsiTheme="majorHAnsi"/>
                <w:szCs w:val="20"/>
                <w:lang w:val="el-GR"/>
              </w:rPr>
            </w:pPr>
          </w:p>
        </w:tc>
        <w:tc>
          <w:tcPr>
            <w:tcW w:w="1707" w:type="dxa"/>
          </w:tcPr>
          <w:p w14:paraId="7947E301" w14:textId="39308B9A"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506.100.000</w:t>
            </w:r>
          </w:p>
        </w:tc>
        <w:tc>
          <w:tcPr>
            <w:tcW w:w="1707" w:type="dxa"/>
          </w:tcPr>
          <w:p w14:paraId="55DC9A6B" w14:textId="2F112C04" w:rsidR="00653609" w:rsidRPr="00721542" w:rsidRDefault="00653609" w:rsidP="00721542">
            <w:pPr>
              <w:spacing w:line="276" w:lineRule="auto"/>
              <w:rPr>
                <w:rFonts w:asciiTheme="majorHAnsi" w:hAnsiTheme="majorHAnsi"/>
                <w:szCs w:val="20"/>
                <w:lang w:val="el-GR"/>
              </w:rPr>
            </w:pPr>
            <w:r w:rsidRPr="00721542">
              <w:rPr>
                <w:rFonts w:asciiTheme="majorHAnsi" w:hAnsiTheme="majorHAnsi"/>
                <w:szCs w:val="20"/>
                <w:lang w:val="el-GR"/>
              </w:rPr>
              <w:t>42.175.000</w:t>
            </w:r>
          </w:p>
        </w:tc>
      </w:tr>
    </w:tbl>
    <w:p w14:paraId="5839FFBE" w14:textId="20BCF1D3" w:rsidR="00C00D72" w:rsidRDefault="00C00D72" w:rsidP="001640F7">
      <w:pPr>
        <w:spacing w:before="120" w:after="120" w:line="360" w:lineRule="auto"/>
        <w:rPr>
          <w:rFonts w:asciiTheme="majorHAnsi" w:hAnsiTheme="majorHAnsi"/>
          <w:sz w:val="22"/>
          <w:lang w:val="el-GR"/>
        </w:rPr>
      </w:pPr>
    </w:p>
    <w:p w14:paraId="42FA8A7E" w14:textId="2B70FE41" w:rsidR="001640F7" w:rsidRDefault="001640F7" w:rsidP="001640F7">
      <w:pPr>
        <w:spacing w:before="120" w:after="120" w:line="360" w:lineRule="auto"/>
        <w:jc w:val="both"/>
        <w:rPr>
          <w:rFonts w:asciiTheme="majorHAnsi" w:hAnsiTheme="majorHAnsi" w:cs="Tahoma"/>
          <w:color w:val="365F91" w:themeColor="accent1" w:themeShade="BF"/>
          <w:sz w:val="22"/>
          <w:u w:val="single"/>
          <w:lang w:val="el-GR"/>
        </w:rPr>
      </w:pPr>
      <w:r>
        <w:rPr>
          <w:rFonts w:asciiTheme="majorHAnsi" w:hAnsiTheme="majorHAnsi" w:cs="Tahoma"/>
          <w:color w:val="365F91" w:themeColor="accent1" w:themeShade="BF"/>
          <w:sz w:val="22"/>
          <w:u w:val="single"/>
          <w:lang w:val="el-GR"/>
        </w:rPr>
        <w:lastRenderedPageBreak/>
        <w:t>Υστέρηση εισφορ</w:t>
      </w:r>
      <w:r w:rsidR="003B641D">
        <w:rPr>
          <w:rFonts w:asciiTheme="majorHAnsi" w:hAnsiTheme="majorHAnsi" w:cs="Tahoma"/>
          <w:color w:val="365F91" w:themeColor="accent1" w:themeShade="BF"/>
          <w:sz w:val="22"/>
          <w:u w:val="single"/>
          <w:lang w:val="el-GR"/>
        </w:rPr>
        <w:t>ών</w:t>
      </w:r>
    </w:p>
    <w:p w14:paraId="6EE9C340" w14:textId="4F709400" w:rsidR="00014202" w:rsidRDefault="00014202" w:rsidP="001640F7">
      <w:pPr>
        <w:spacing w:before="120" w:after="120" w:line="360" w:lineRule="auto"/>
        <w:jc w:val="both"/>
        <w:rPr>
          <w:rFonts w:asciiTheme="majorHAnsi" w:hAnsiTheme="majorHAnsi" w:cs="Tahoma"/>
          <w:sz w:val="22"/>
          <w:lang w:val="el-GR"/>
        </w:rPr>
      </w:pPr>
      <w:r>
        <w:rPr>
          <w:rFonts w:asciiTheme="majorHAnsi" w:hAnsiTheme="majorHAnsi" w:cs="Tahoma"/>
          <w:sz w:val="22"/>
          <w:lang w:val="el-GR"/>
        </w:rPr>
        <w:t xml:space="preserve">Η καθυστέρηση μεταβίβασης των εισφορών που έχουν εισπραχθεί από τους Φορείς Κοινωνικής Ασφάλισης (ΦΚΑ), αλλά δεν αποδίδονται εγκαίρως στον ΕΟΠΥΥ, αποτελεί έναν από τους σημαντικότερους λόγους </w:t>
      </w:r>
      <w:r w:rsidR="00956EE3">
        <w:rPr>
          <w:rFonts w:asciiTheme="majorHAnsi" w:hAnsiTheme="majorHAnsi" w:cs="Tahoma"/>
          <w:sz w:val="22"/>
          <w:lang w:val="el-GR"/>
        </w:rPr>
        <w:t>της αναποτελεσματικής λειτουργίας του Οργανισμού, της αδυναμίας ενεργοποίησης της διαπραγματευτικής του δύναμης καθώς και υλοποίησης του στρατηγικού σχεδίου. Το ΔΣ του Οργανισμού έχει απευθυνθεί στα συναρμόδια Υπουργεία για την επίλυση του ζητήματος, καθότι η λειτουργία του Οργανισμού με υστέρηση</w:t>
      </w:r>
      <w:r w:rsidR="00614A7D">
        <w:rPr>
          <w:rFonts w:asciiTheme="majorHAnsi" w:hAnsiTheme="majorHAnsi" w:cs="Tahoma"/>
          <w:sz w:val="22"/>
          <w:lang w:val="el-GR"/>
        </w:rPr>
        <w:t xml:space="preserve"> περίπου</w:t>
      </w:r>
      <w:r w:rsidR="00956EE3">
        <w:rPr>
          <w:rFonts w:asciiTheme="majorHAnsi" w:hAnsiTheme="majorHAnsi" w:cs="Tahoma"/>
          <w:sz w:val="22"/>
          <w:lang w:val="el-GR"/>
        </w:rPr>
        <w:t xml:space="preserve"> </w:t>
      </w:r>
      <w:r w:rsidR="00C8159E">
        <w:rPr>
          <w:rFonts w:asciiTheme="majorHAnsi" w:hAnsiTheme="majorHAnsi" w:cs="Tahoma"/>
          <w:sz w:val="22"/>
          <w:lang w:val="el-GR"/>
        </w:rPr>
        <w:t>950</w:t>
      </w:r>
      <w:r w:rsidR="00614A7D">
        <w:rPr>
          <w:rFonts w:asciiTheme="majorHAnsi" w:hAnsiTheme="majorHAnsi" w:cs="Tahoma"/>
          <w:sz w:val="22"/>
          <w:lang w:val="el-GR"/>
        </w:rPr>
        <w:t>εκ.€, μόνο για το</w:t>
      </w:r>
      <w:r w:rsidR="007D7CF9">
        <w:rPr>
          <w:rFonts w:asciiTheme="majorHAnsi" w:hAnsiTheme="majorHAnsi" w:cs="Tahoma"/>
          <w:sz w:val="22"/>
          <w:lang w:val="el-GR"/>
        </w:rPr>
        <w:t xml:space="preserve"> το τρέχον έτος, σηματοδοτεί την αδυναμία πληρωμών των παρόχων.</w:t>
      </w:r>
    </w:p>
    <w:p w14:paraId="3AF19C06" w14:textId="77777777" w:rsidR="00CA7FE2" w:rsidRPr="00CA7FE2" w:rsidRDefault="00CA7FE2" w:rsidP="001640F7">
      <w:pPr>
        <w:spacing w:before="120" w:after="120" w:line="360" w:lineRule="auto"/>
        <w:jc w:val="both"/>
        <w:rPr>
          <w:rFonts w:asciiTheme="majorHAnsi" w:hAnsiTheme="majorHAnsi" w:cs="Tahoma"/>
          <w:b/>
          <w:sz w:val="22"/>
          <w:lang w:val="el-GR"/>
        </w:rPr>
      </w:pPr>
    </w:p>
    <w:p w14:paraId="4CADA0F9" w14:textId="50898F96" w:rsidR="00CA7FE2" w:rsidRPr="007D7CF9" w:rsidRDefault="00CA7FE2" w:rsidP="001640F7">
      <w:pPr>
        <w:spacing w:before="120" w:after="120" w:line="360" w:lineRule="auto"/>
        <w:jc w:val="both"/>
        <w:rPr>
          <w:rFonts w:asciiTheme="majorHAnsi" w:hAnsiTheme="majorHAnsi" w:cs="Tahoma"/>
          <w:sz w:val="22"/>
          <w:lang w:val="el-GR"/>
        </w:rPr>
      </w:pPr>
      <w:r w:rsidRPr="00CA7FE2">
        <w:rPr>
          <w:rFonts w:asciiTheme="majorHAnsi" w:hAnsiTheme="majorHAnsi" w:cs="Tahoma"/>
          <w:b/>
          <w:sz w:val="22"/>
          <w:lang w:val="el-GR"/>
        </w:rPr>
        <w:t>Πίνακας 4. Υστέρηση εισφορών, έως Σεπτέμβριος 2015</w:t>
      </w:r>
    </w:p>
    <w:tbl>
      <w:tblPr>
        <w:tblpPr w:leftFromText="180" w:rightFromText="180" w:vertAnchor="text" w:horzAnchor="margin" w:tblpXSpec="center" w:tblpY="313"/>
        <w:tblW w:w="10489" w:type="dxa"/>
        <w:tblLook w:val="04A0" w:firstRow="1" w:lastRow="0" w:firstColumn="1" w:lastColumn="0" w:noHBand="0" w:noVBand="1"/>
      </w:tblPr>
      <w:tblGrid>
        <w:gridCol w:w="2400"/>
        <w:gridCol w:w="1300"/>
        <w:gridCol w:w="1498"/>
        <w:gridCol w:w="1331"/>
        <w:gridCol w:w="1980"/>
        <w:gridCol w:w="1980"/>
      </w:tblGrid>
      <w:tr w:rsidR="003B641D" w:rsidRPr="00CA7FE2" w14:paraId="40F10184" w14:textId="77777777" w:rsidTr="00CA7FE2">
        <w:trPr>
          <w:trHeight w:val="555"/>
        </w:trPr>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22F5C7" w14:textId="77777777" w:rsidR="003B641D" w:rsidRPr="00CA7FE2" w:rsidRDefault="003B641D" w:rsidP="003B641D">
            <w:pPr>
              <w:rPr>
                <w:rFonts w:ascii="Calibri" w:hAnsi="Calibri"/>
                <w:b/>
                <w:color w:val="000000"/>
                <w:sz w:val="22"/>
                <w:lang w:val="el-GR"/>
              </w:rPr>
            </w:pPr>
            <w:r w:rsidRPr="00CA7FE2">
              <w:rPr>
                <w:rFonts w:ascii="Calibri" w:hAnsi="Calibri"/>
                <w:b/>
                <w:color w:val="000000"/>
                <w:sz w:val="22"/>
              </w:rPr>
              <w:t> </w:t>
            </w:r>
          </w:p>
        </w:tc>
        <w:tc>
          <w:tcPr>
            <w:tcW w:w="13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E3BA1E5" w14:textId="77777777" w:rsidR="003B641D" w:rsidRPr="00CA7FE2" w:rsidRDefault="003B641D" w:rsidP="003B641D">
            <w:pPr>
              <w:jc w:val="center"/>
              <w:rPr>
                <w:rFonts w:ascii="Calibri" w:hAnsi="Calibri"/>
                <w:b/>
                <w:color w:val="000000"/>
                <w:sz w:val="22"/>
                <w:lang w:val="el-GR"/>
              </w:rPr>
            </w:pPr>
            <w:r w:rsidRPr="00CA7FE2">
              <w:rPr>
                <w:rFonts w:ascii="Calibri" w:hAnsi="Calibri"/>
                <w:b/>
                <w:color w:val="000000"/>
                <w:sz w:val="22"/>
                <w:lang w:val="el-GR"/>
              </w:rPr>
              <w:t>2012</w:t>
            </w:r>
          </w:p>
        </w:tc>
        <w:tc>
          <w:tcPr>
            <w:tcW w:w="1498"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BE966D" w14:textId="77777777" w:rsidR="003B641D" w:rsidRPr="00CA7FE2" w:rsidRDefault="003B641D" w:rsidP="003B641D">
            <w:pPr>
              <w:jc w:val="center"/>
              <w:rPr>
                <w:rFonts w:ascii="Calibri" w:hAnsi="Calibri"/>
                <w:b/>
                <w:color w:val="000000"/>
                <w:sz w:val="22"/>
                <w:lang w:val="el-GR"/>
              </w:rPr>
            </w:pPr>
            <w:r w:rsidRPr="00CA7FE2">
              <w:rPr>
                <w:rFonts w:ascii="Calibri" w:hAnsi="Calibri"/>
                <w:b/>
                <w:color w:val="000000"/>
                <w:sz w:val="22"/>
                <w:lang w:val="el-GR"/>
              </w:rPr>
              <w:t>2013</w:t>
            </w:r>
          </w:p>
        </w:tc>
        <w:tc>
          <w:tcPr>
            <w:tcW w:w="133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A9D8AF8" w14:textId="77777777" w:rsidR="003B641D" w:rsidRPr="00CA7FE2" w:rsidRDefault="003B641D" w:rsidP="003B641D">
            <w:pPr>
              <w:jc w:val="center"/>
              <w:rPr>
                <w:rFonts w:ascii="Calibri" w:hAnsi="Calibri"/>
                <w:b/>
                <w:color w:val="000000"/>
                <w:sz w:val="22"/>
                <w:lang w:val="el-GR"/>
              </w:rPr>
            </w:pPr>
            <w:r w:rsidRPr="00CA7FE2">
              <w:rPr>
                <w:rFonts w:ascii="Calibri" w:hAnsi="Calibri"/>
                <w:b/>
                <w:color w:val="000000"/>
                <w:sz w:val="22"/>
                <w:lang w:val="el-GR"/>
              </w:rPr>
              <w:t>2014</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9BB529D" w14:textId="77777777" w:rsidR="003B641D" w:rsidRPr="00CA7FE2" w:rsidRDefault="003B641D" w:rsidP="003B641D">
            <w:pPr>
              <w:jc w:val="center"/>
              <w:rPr>
                <w:rFonts w:ascii="Calibri" w:hAnsi="Calibri"/>
                <w:b/>
                <w:color w:val="000000"/>
                <w:sz w:val="22"/>
                <w:lang w:val="el-GR"/>
              </w:rPr>
            </w:pPr>
            <w:r w:rsidRPr="00CA7FE2">
              <w:rPr>
                <w:rFonts w:ascii="Calibri" w:hAnsi="Calibri"/>
                <w:b/>
                <w:color w:val="000000"/>
                <w:sz w:val="22"/>
                <w:lang w:val="el-GR"/>
              </w:rPr>
              <w:t>2015</w:t>
            </w:r>
          </w:p>
          <w:p w14:paraId="18E92EDA" w14:textId="525D3F41" w:rsidR="003B641D" w:rsidRPr="00CA7FE2" w:rsidRDefault="003B641D" w:rsidP="003B641D">
            <w:pPr>
              <w:jc w:val="center"/>
              <w:rPr>
                <w:rFonts w:ascii="Calibri" w:hAnsi="Calibri"/>
                <w:b/>
                <w:color w:val="000000"/>
                <w:sz w:val="22"/>
                <w:lang w:val="el-GR"/>
              </w:rPr>
            </w:pPr>
            <w:r w:rsidRPr="00CA7FE2">
              <w:rPr>
                <w:rFonts w:ascii="Calibri" w:hAnsi="Calibri"/>
                <w:b/>
                <w:color w:val="000000"/>
                <w:sz w:val="22"/>
                <w:lang w:val="el-GR"/>
              </w:rPr>
              <w:t>έως Σεπτέμβριο</w:t>
            </w:r>
          </w:p>
        </w:tc>
        <w:tc>
          <w:tcPr>
            <w:tcW w:w="198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4B7241B" w14:textId="77777777" w:rsidR="003B641D" w:rsidRPr="00CA7FE2" w:rsidRDefault="003B641D" w:rsidP="003B641D">
            <w:pPr>
              <w:jc w:val="center"/>
              <w:rPr>
                <w:rFonts w:ascii="Calibri" w:hAnsi="Calibri"/>
                <w:b/>
                <w:color w:val="000000"/>
                <w:sz w:val="22"/>
                <w:lang w:val="el-GR"/>
              </w:rPr>
            </w:pPr>
            <w:r w:rsidRPr="00CA7FE2">
              <w:rPr>
                <w:rFonts w:ascii="Calibri" w:hAnsi="Calibri"/>
                <w:b/>
                <w:color w:val="000000"/>
                <w:sz w:val="22"/>
                <w:lang w:val="el-GR"/>
              </w:rPr>
              <w:t xml:space="preserve">ΣΥΝΟΛΟ ΟΦΕΙΛΩΝ </w:t>
            </w:r>
          </w:p>
        </w:tc>
      </w:tr>
      <w:tr w:rsidR="003B641D" w:rsidRPr="00CA7FE2" w14:paraId="4DBACDE4"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8D3F965" w14:textId="77777777" w:rsidR="003B641D" w:rsidRPr="00CA7FE2" w:rsidRDefault="003B641D" w:rsidP="003B641D">
            <w:pPr>
              <w:rPr>
                <w:rFonts w:ascii="Calibri" w:hAnsi="Calibri"/>
                <w:color w:val="000000"/>
                <w:sz w:val="22"/>
                <w:lang w:val="el-GR"/>
              </w:rPr>
            </w:pPr>
            <w:r w:rsidRPr="00CA7FE2">
              <w:rPr>
                <w:rFonts w:ascii="Calibri" w:hAnsi="Calibri"/>
                <w:color w:val="000000"/>
                <w:sz w:val="22"/>
                <w:lang w:val="el-GR"/>
              </w:rPr>
              <w:t>ΙΚΑ ΕΤΑΜ</w:t>
            </w:r>
          </w:p>
        </w:tc>
        <w:tc>
          <w:tcPr>
            <w:tcW w:w="1300" w:type="dxa"/>
            <w:tcBorders>
              <w:top w:val="nil"/>
              <w:left w:val="nil"/>
              <w:bottom w:val="single" w:sz="4" w:space="0" w:color="auto"/>
              <w:right w:val="single" w:sz="4" w:space="0" w:color="auto"/>
            </w:tcBorders>
            <w:shd w:val="clear" w:color="auto" w:fill="auto"/>
            <w:noWrap/>
            <w:vAlign w:val="bottom"/>
            <w:hideMark/>
          </w:tcPr>
          <w:p w14:paraId="77138CBA" w14:textId="77777777" w:rsidR="003B641D" w:rsidRPr="00CA7FE2" w:rsidRDefault="003B641D" w:rsidP="003B641D">
            <w:pPr>
              <w:jc w:val="right"/>
              <w:rPr>
                <w:rFonts w:ascii="Calibri" w:hAnsi="Calibri"/>
                <w:color w:val="000000"/>
                <w:sz w:val="22"/>
                <w:lang w:val="el-GR"/>
              </w:rPr>
            </w:pPr>
            <w:r w:rsidRPr="00CA7FE2">
              <w:rPr>
                <w:rFonts w:ascii="Calibri" w:hAnsi="Calibri"/>
                <w:color w:val="000000"/>
                <w:sz w:val="22"/>
                <w:lang w:val="el-GR"/>
              </w:rPr>
              <w:t>85.997.103</w:t>
            </w:r>
          </w:p>
        </w:tc>
        <w:tc>
          <w:tcPr>
            <w:tcW w:w="1498" w:type="dxa"/>
            <w:tcBorders>
              <w:top w:val="nil"/>
              <w:left w:val="nil"/>
              <w:bottom w:val="single" w:sz="4" w:space="0" w:color="auto"/>
              <w:right w:val="single" w:sz="4" w:space="0" w:color="auto"/>
            </w:tcBorders>
            <w:shd w:val="clear" w:color="auto" w:fill="auto"/>
            <w:noWrap/>
            <w:vAlign w:val="bottom"/>
            <w:hideMark/>
          </w:tcPr>
          <w:p w14:paraId="440AB148" w14:textId="77777777" w:rsidR="003B641D" w:rsidRPr="00CA7FE2" w:rsidRDefault="003B641D" w:rsidP="003B641D">
            <w:pPr>
              <w:jc w:val="right"/>
              <w:rPr>
                <w:rFonts w:ascii="Calibri" w:hAnsi="Calibri"/>
                <w:color w:val="000000"/>
                <w:sz w:val="22"/>
                <w:lang w:val="el-GR"/>
              </w:rPr>
            </w:pPr>
            <w:r w:rsidRPr="00CA7FE2">
              <w:rPr>
                <w:rFonts w:ascii="Calibri" w:hAnsi="Calibri"/>
                <w:color w:val="000000"/>
                <w:sz w:val="22"/>
                <w:lang w:val="el-GR"/>
              </w:rPr>
              <w:t>138.318.581</w:t>
            </w:r>
          </w:p>
        </w:tc>
        <w:tc>
          <w:tcPr>
            <w:tcW w:w="1331" w:type="dxa"/>
            <w:tcBorders>
              <w:top w:val="nil"/>
              <w:left w:val="nil"/>
              <w:bottom w:val="single" w:sz="4" w:space="0" w:color="auto"/>
              <w:right w:val="single" w:sz="4" w:space="0" w:color="auto"/>
            </w:tcBorders>
            <w:shd w:val="clear" w:color="auto" w:fill="auto"/>
            <w:noWrap/>
            <w:vAlign w:val="bottom"/>
            <w:hideMark/>
          </w:tcPr>
          <w:p w14:paraId="693FFEC8" w14:textId="77777777" w:rsidR="003B641D" w:rsidRPr="00CA7FE2" w:rsidRDefault="003B641D" w:rsidP="003B641D">
            <w:pPr>
              <w:jc w:val="right"/>
              <w:rPr>
                <w:rFonts w:ascii="Calibri" w:hAnsi="Calibri"/>
                <w:color w:val="000000"/>
                <w:sz w:val="22"/>
                <w:lang w:val="el-GR"/>
              </w:rPr>
            </w:pPr>
            <w:r w:rsidRPr="00CA7FE2">
              <w:rPr>
                <w:rFonts w:ascii="Calibri" w:hAnsi="Calibri"/>
                <w:color w:val="000000"/>
                <w:sz w:val="22"/>
                <w:lang w:val="el-GR"/>
              </w:rPr>
              <w:t>79.126.573</w:t>
            </w:r>
          </w:p>
        </w:tc>
        <w:tc>
          <w:tcPr>
            <w:tcW w:w="1980" w:type="dxa"/>
            <w:tcBorders>
              <w:top w:val="nil"/>
              <w:left w:val="nil"/>
              <w:bottom w:val="single" w:sz="4" w:space="0" w:color="auto"/>
              <w:right w:val="single" w:sz="4" w:space="0" w:color="auto"/>
            </w:tcBorders>
            <w:shd w:val="clear" w:color="auto" w:fill="auto"/>
            <w:noWrap/>
            <w:vAlign w:val="bottom"/>
            <w:hideMark/>
          </w:tcPr>
          <w:p w14:paraId="571E2083" w14:textId="77777777" w:rsidR="003B641D" w:rsidRPr="00CA7FE2" w:rsidRDefault="003B641D" w:rsidP="003B641D">
            <w:pPr>
              <w:jc w:val="right"/>
              <w:rPr>
                <w:rFonts w:ascii="Calibri" w:hAnsi="Calibri"/>
                <w:color w:val="000000"/>
                <w:sz w:val="22"/>
                <w:lang w:val="el-GR"/>
              </w:rPr>
            </w:pPr>
            <w:r w:rsidRPr="00CA7FE2">
              <w:rPr>
                <w:rFonts w:ascii="Calibri" w:hAnsi="Calibri"/>
                <w:color w:val="000000"/>
                <w:sz w:val="22"/>
                <w:lang w:val="el-GR"/>
              </w:rPr>
              <w:t>505.134.953</w:t>
            </w:r>
          </w:p>
        </w:tc>
        <w:tc>
          <w:tcPr>
            <w:tcW w:w="1980" w:type="dxa"/>
            <w:tcBorders>
              <w:top w:val="nil"/>
              <w:left w:val="nil"/>
              <w:bottom w:val="single" w:sz="4" w:space="0" w:color="auto"/>
              <w:right w:val="single" w:sz="4" w:space="0" w:color="auto"/>
            </w:tcBorders>
            <w:shd w:val="clear" w:color="auto" w:fill="auto"/>
            <w:noWrap/>
            <w:vAlign w:val="bottom"/>
            <w:hideMark/>
          </w:tcPr>
          <w:p w14:paraId="39D223F9" w14:textId="77777777" w:rsidR="003B641D" w:rsidRPr="00CA7FE2" w:rsidRDefault="003B641D" w:rsidP="003B641D">
            <w:pPr>
              <w:jc w:val="center"/>
              <w:rPr>
                <w:rFonts w:ascii="Calibri" w:hAnsi="Calibri"/>
                <w:color w:val="000000"/>
                <w:sz w:val="22"/>
                <w:lang w:val="el-GR"/>
              </w:rPr>
            </w:pPr>
            <w:r w:rsidRPr="00CA7FE2">
              <w:rPr>
                <w:rFonts w:ascii="Calibri" w:hAnsi="Calibri"/>
                <w:color w:val="000000"/>
                <w:sz w:val="22"/>
                <w:lang w:val="el-GR"/>
              </w:rPr>
              <w:t>808.577.210</w:t>
            </w:r>
          </w:p>
        </w:tc>
      </w:tr>
      <w:tr w:rsidR="003B641D" w14:paraId="46EF3505"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127973C8" w14:textId="77777777" w:rsidR="003B641D" w:rsidRDefault="003B641D" w:rsidP="003B641D">
            <w:pPr>
              <w:rPr>
                <w:rFonts w:ascii="Calibri" w:hAnsi="Calibri"/>
                <w:color w:val="000000"/>
                <w:sz w:val="22"/>
              </w:rPr>
            </w:pPr>
            <w:r>
              <w:rPr>
                <w:rFonts w:ascii="Calibri" w:hAnsi="Calibri"/>
                <w:color w:val="000000"/>
                <w:sz w:val="22"/>
              </w:rPr>
              <w:t>TAYTEKO (</w:t>
            </w:r>
            <w:r>
              <w:rPr>
                <w:rFonts w:ascii="Calibri" w:hAnsi="Calibri"/>
                <w:b/>
                <w:bCs/>
                <w:color w:val="000000"/>
                <w:sz w:val="22"/>
              </w:rPr>
              <w:t>ΜΕΣΩ ΙΚΑ</w:t>
            </w:r>
            <w:r>
              <w:rPr>
                <w:rFonts w:ascii="Calibri" w:hAnsi="Calibri"/>
                <w:color w:val="000000"/>
                <w:sz w:val="22"/>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14:paraId="585B6BDD" w14:textId="77777777" w:rsidR="003B641D" w:rsidRDefault="003B641D" w:rsidP="003B641D">
            <w:pPr>
              <w:rPr>
                <w:rFonts w:ascii="Calibri" w:hAnsi="Calibri"/>
                <w:color w:val="000000"/>
                <w:sz w:val="22"/>
              </w:rPr>
            </w:pPr>
            <w:r>
              <w:rPr>
                <w:rFonts w:ascii="Calibri" w:hAnsi="Calibri"/>
                <w:color w:val="000000"/>
                <w:sz w:val="22"/>
              </w:rPr>
              <w:t> </w:t>
            </w:r>
          </w:p>
        </w:tc>
        <w:tc>
          <w:tcPr>
            <w:tcW w:w="1498" w:type="dxa"/>
            <w:tcBorders>
              <w:top w:val="nil"/>
              <w:left w:val="nil"/>
              <w:bottom w:val="single" w:sz="4" w:space="0" w:color="auto"/>
              <w:right w:val="single" w:sz="4" w:space="0" w:color="auto"/>
            </w:tcBorders>
            <w:shd w:val="clear" w:color="auto" w:fill="auto"/>
            <w:noWrap/>
            <w:vAlign w:val="bottom"/>
            <w:hideMark/>
          </w:tcPr>
          <w:p w14:paraId="4645DD91" w14:textId="77777777" w:rsidR="003B641D" w:rsidRDefault="003B641D" w:rsidP="003B641D">
            <w:pPr>
              <w:rPr>
                <w:rFonts w:ascii="Calibri" w:hAnsi="Calibri"/>
                <w:color w:val="000000"/>
                <w:sz w:val="22"/>
              </w:rPr>
            </w:pPr>
            <w:r>
              <w:rPr>
                <w:rFonts w:ascii="Calibri" w:hAnsi="Calibri"/>
                <w:color w:val="000000"/>
                <w:sz w:val="22"/>
              </w:rPr>
              <w:t> </w:t>
            </w:r>
          </w:p>
        </w:tc>
        <w:tc>
          <w:tcPr>
            <w:tcW w:w="1331" w:type="dxa"/>
            <w:tcBorders>
              <w:top w:val="nil"/>
              <w:left w:val="nil"/>
              <w:bottom w:val="single" w:sz="4" w:space="0" w:color="auto"/>
              <w:right w:val="single" w:sz="4" w:space="0" w:color="auto"/>
            </w:tcBorders>
            <w:shd w:val="clear" w:color="auto" w:fill="auto"/>
            <w:noWrap/>
            <w:vAlign w:val="bottom"/>
            <w:hideMark/>
          </w:tcPr>
          <w:p w14:paraId="0151ED2E" w14:textId="77777777" w:rsidR="003B641D" w:rsidRDefault="003B641D" w:rsidP="003B641D">
            <w:pPr>
              <w:jc w:val="right"/>
              <w:rPr>
                <w:rFonts w:ascii="Calibri" w:hAnsi="Calibri"/>
                <w:color w:val="000000"/>
                <w:sz w:val="22"/>
              </w:rPr>
            </w:pPr>
            <w:r>
              <w:rPr>
                <w:rFonts w:ascii="Calibri" w:hAnsi="Calibri"/>
                <w:color w:val="000000"/>
                <w:sz w:val="22"/>
              </w:rPr>
              <w:t>15.894.383</w:t>
            </w:r>
          </w:p>
        </w:tc>
        <w:tc>
          <w:tcPr>
            <w:tcW w:w="1980" w:type="dxa"/>
            <w:tcBorders>
              <w:top w:val="nil"/>
              <w:left w:val="nil"/>
              <w:bottom w:val="single" w:sz="4" w:space="0" w:color="auto"/>
              <w:right w:val="single" w:sz="4" w:space="0" w:color="auto"/>
            </w:tcBorders>
            <w:shd w:val="clear" w:color="auto" w:fill="auto"/>
            <w:noWrap/>
            <w:vAlign w:val="bottom"/>
            <w:hideMark/>
          </w:tcPr>
          <w:p w14:paraId="3F04A799" w14:textId="77777777" w:rsidR="003B641D" w:rsidRDefault="003B641D" w:rsidP="003B641D">
            <w:pPr>
              <w:jc w:val="right"/>
              <w:rPr>
                <w:rFonts w:ascii="Calibri" w:hAnsi="Calibri"/>
                <w:color w:val="000000"/>
                <w:sz w:val="22"/>
              </w:rPr>
            </w:pPr>
            <w:r>
              <w:rPr>
                <w:rFonts w:ascii="Calibri" w:hAnsi="Calibri"/>
                <w:color w:val="000000"/>
                <w:sz w:val="22"/>
              </w:rPr>
              <w:t>33.600.000</w:t>
            </w:r>
          </w:p>
        </w:tc>
        <w:tc>
          <w:tcPr>
            <w:tcW w:w="1980" w:type="dxa"/>
            <w:tcBorders>
              <w:top w:val="nil"/>
              <w:left w:val="nil"/>
              <w:bottom w:val="single" w:sz="4" w:space="0" w:color="auto"/>
              <w:right w:val="single" w:sz="4" w:space="0" w:color="auto"/>
            </w:tcBorders>
            <w:shd w:val="clear" w:color="auto" w:fill="auto"/>
            <w:noWrap/>
            <w:vAlign w:val="bottom"/>
            <w:hideMark/>
          </w:tcPr>
          <w:p w14:paraId="309E60AA" w14:textId="77777777" w:rsidR="003B641D" w:rsidRDefault="003B641D" w:rsidP="003B641D">
            <w:pPr>
              <w:jc w:val="center"/>
              <w:rPr>
                <w:rFonts w:ascii="Calibri" w:hAnsi="Calibri"/>
                <w:color w:val="000000"/>
                <w:sz w:val="22"/>
              </w:rPr>
            </w:pPr>
            <w:r>
              <w:rPr>
                <w:rFonts w:ascii="Calibri" w:hAnsi="Calibri"/>
                <w:color w:val="000000"/>
                <w:sz w:val="22"/>
              </w:rPr>
              <w:t>49.494.383</w:t>
            </w:r>
          </w:p>
        </w:tc>
      </w:tr>
      <w:tr w:rsidR="003B641D" w14:paraId="5C25757F"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61D1E3CC" w14:textId="77777777" w:rsidR="003B641D" w:rsidRDefault="003B641D" w:rsidP="003B641D">
            <w:pPr>
              <w:rPr>
                <w:rFonts w:ascii="Calibri" w:hAnsi="Calibri"/>
                <w:color w:val="000000"/>
                <w:sz w:val="22"/>
              </w:rPr>
            </w:pPr>
            <w:r>
              <w:rPr>
                <w:rFonts w:ascii="Calibri" w:hAnsi="Calibri"/>
                <w:color w:val="000000"/>
                <w:sz w:val="22"/>
              </w:rPr>
              <w:t>ΟΑΕΕ</w:t>
            </w:r>
          </w:p>
        </w:tc>
        <w:tc>
          <w:tcPr>
            <w:tcW w:w="1300" w:type="dxa"/>
            <w:tcBorders>
              <w:top w:val="nil"/>
              <w:left w:val="nil"/>
              <w:bottom w:val="single" w:sz="4" w:space="0" w:color="auto"/>
              <w:right w:val="single" w:sz="4" w:space="0" w:color="auto"/>
            </w:tcBorders>
            <w:shd w:val="clear" w:color="auto" w:fill="auto"/>
            <w:noWrap/>
            <w:vAlign w:val="bottom"/>
            <w:hideMark/>
          </w:tcPr>
          <w:p w14:paraId="4C1CE0ED" w14:textId="77777777" w:rsidR="003B641D" w:rsidRDefault="003B641D" w:rsidP="003B641D">
            <w:pPr>
              <w:rPr>
                <w:rFonts w:ascii="Calibri" w:hAnsi="Calibri"/>
                <w:color w:val="000000"/>
                <w:sz w:val="22"/>
              </w:rPr>
            </w:pPr>
            <w:r>
              <w:rPr>
                <w:rFonts w:ascii="Calibri" w:hAnsi="Calibri"/>
                <w:color w:val="000000"/>
                <w:sz w:val="22"/>
              </w:rPr>
              <w:t> </w:t>
            </w:r>
          </w:p>
        </w:tc>
        <w:tc>
          <w:tcPr>
            <w:tcW w:w="1498" w:type="dxa"/>
            <w:tcBorders>
              <w:top w:val="nil"/>
              <w:left w:val="nil"/>
              <w:bottom w:val="single" w:sz="4" w:space="0" w:color="auto"/>
              <w:right w:val="single" w:sz="4" w:space="0" w:color="auto"/>
            </w:tcBorders>
            <w:shd w:val="clear" w:color="auto" w:fill="auto"/>
            <w:noWrap/>
            <w:vAlign w:val="bottom"/>
            <w:hideMark/>
          </w:tcPr>
          <w:p w14:paraId="0AEDB972" w14:textId="77777777" w:rsidR="003B641D" w:rsidRDefault="003B641D" w:rsidP="003B641D">
            <w:pPr>
              <w:jc w:val="right"/>
              <w:rPr>
                <w:rFonts w:ascii="Calibri" w:hAnsi="Calibri"/>
                <w:color w:val="000000"/>
                <w:sz w:val="22"/>
              </w:rPr>
            </w:pPr>
            <w:r>
              <w:rPr>
                <w:rFonts w:ascii="Calibri" w:hAnsi="Calibri"/>
                <w:color w:val="000000"/>
                <w:sz w:val="22"/>
              </w:rPr>
              <w:t>35.978.230</w:t>
            </w:r>
          </w:p>
        </w:tc>
        <w:tc>
          <w:tcPr>
            <w:tcW w:w="1331" w:type="dxa"/>
            <w:tcBorders>
              <w:top w:val="nil"/>
              <w:left w:val="nil"/>
              <w:bottom w:val="single" w:sz="4" w:space="0" w:color="auto"/>
              <w:right w:val="single" w:sz="4" w:space="0" w:color="auto"/>
            </w:tcBorders>
            <w:shd w:val="clear" w:color="auto" w:fill="auto"/>
            <w:noWrap/>
            <w:vAlign w:val="bottom"/>
            <w:hideMark/>
          </w:tcPr>
          <w:p w14:paraId="5CEFF99E" w14:textId="77777777" w:rsidR="003B641D" w:rsidRDefault="003B641D" w:rsidP="003B641D">
            <w:pPr>
              <w:jc w:val="right"/>
              <w:rPr>
                <w:rFonts w:ascii="Calibri" w:hAnsi="Calibri"/>
                <w:color w:val="000000"/>
                <w:sz w:val="22"/>
              </w:rPr>
            </w:pPr>
            <w:r>
              <w:rPr>
                <w:rFonts w:ascii="Calibri" w:hAnsi="Calibri"/>
                <w:color w:val="000000"/>
                <w:sz w:val="22"/>
              </w:rPr>
              <w:t>277.435.947</w:t>
            </w:r>
          </w:p>
        </w:tc>
        <w:tc>
          <w:tcPr>
            <w:tcW w:w="1980" w:type="dxa"/>
            <w:tcBorders>
              <w:top w:val="nil"/>
              <w:left w:val="nil"/>
              <w:bottom w:val="single" w:sz="4" w:space="0" w:color="auto"/>
              <w:right w:val="single" w:sz="4" w:space="0" w:color="auto"/>
            </w:tcBorders>
            <w:shd w:val="clear" w:color="auto" w:fill="auto"/>
            <w:noWrap/>
            <w:vAlign w:val="bottom"/>
            <w:hideMark/>
          </w:tcPr>
          <w:p w14:paraId="7D480CDE" w14:textId="77777777" w:rsidR="003B641D" w:rsidRDefault="003B641D" w:rsidP="003B641D">
            <w:pPr>
              <w:jc w:val="right"/>
              <w:rPr>
                <w:rFonts w:ascii="Calibri" w:hAnsi="Calibri"/>
                <w:color w:val="000000"/>
                <w:sz w:val="22"/>
              </w:rPr>
            </w:pPr>
            <w:r>
              <w:rPr>
                <w:rFonts w:ascii="Calibri" w:hAnsi="Calibri"/>
                <w:color w:val="000000"/>
                <w:sz w:val="22"/>
              </w:rPr>
              <w:t>318.038.589</w:t>
            </w:r>
          </w:p>
        </w:tc>
        <w:tc>
          <w:tcPr>
            <w:tcW w:w="1980" w:type="dxa"/>
            <w:tcBorders>
              <w:top w:val="nil"/>
              <w:left w:val="nil"/>
              <w:bottom w:val="single" w:sz="4" w:space="0" w:color="auto"/>
              <w:right w:val="single" w:sz="4" w:space="0" w:color="auto"/>
            </w:tcBorders>
            <w:shd w:val="clear" w:color="auto" w:fill="auto"/>
            <w:noWrap/>
            <w:vAlign w:val="bottom"/>
            <w:hideMark/>
          </w:tcPr>
          <w:p w14:paraId="5022A51F" w14:textId="77777777" w:rsidR="003B641D" w:rsidRDefault="003B641D" w:rsidP="003B641D">
            <w:pPr>
              <w:jc w:val="center"/>
              <w:rPr>
                <w:rFonts w:ascii="Calibri" w:hAnsi="Calibri"/>
                <w:color w:val="000000"/>
                <w:sz w:val="22"/>
              </w:rPr>
            </w:pPr>
            <w:r>
              <w:rPr>
                <w:rFonts w:ascii="Calibri" w:hAnsi="Calibri"/>
                <w:color w:val="000000"/>
                <w:sz w:val="22"/>
              </w:rPr>
              <w:t>631.452.766</w:t>
            </w:r>
          </w:p>
        </w:tc>
      </w:tr>
      <w:tr w:rsidR="003B641D" w14:paraId="384971E5"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24195DCF" w14:textId="77777777" w:rsidR="003B641D" w:rsidRDefault="003B641D" w:rsidP="003B641D">
            <w:pPr>
              <w:rPr>
                <w:rFonts w:ascii="Calibri" w:hAnsi="Calibri"/>
                <w:color w:val="000000"/>
                <w:sz w:val="22"/>
              </w:rPr>
            </w:pPr>
            <w:r>
              <w:rPr>
                <w:rFonts w:ascii="Calibri" w:hAnsi="Calibri"/>
                <w:color w:val="000000"/>
                <w:sz w:val="22"/>
              </w:rPr>
              <w:t>ΕΤΑΑ</w:t>
            </w:r>
          </w:p>
        </w:tc>
        <w:tc>
          <w:tcPr>
            <w:tcW w:w="1300" w:type="dxa"/>
            <w:tcBorders>
              <w:top w:val="nil"/>
              <w:left w:val="nil"/>
              <w:bottom w:val="single" w:sz="4" w:space="0" w:color="auto"/>
              <w:right w:val="single" w:sz="4" w:space="0" w:color="auto"/>
            </w:tcBorders>
            <w:shd w:val="clear" w:color="auto" w:fill="auto"/>
            <w:noWrap/>
            <w:vAlign w:val="bottom"/>
            <w:hideMark/>
          </w:tcPr>
          <w:p w14:paraId="7C308B6A" w14:textId="77777777" w:rsidR="003B641D" w:rsidRDefault="003B641D" w:rsidP="003B641D">
            <w:pPr>
              <w:rPr>
                <w:rFonts w:ascii="Calibri" w:hAnsi="Calibri"/>
                <w:color w:val="000000"/>
                <w:sz w:val="22"/>
              </w:rPr>
            </w:pPr>
            <w:r>
              <w:rPr>
                <w:rFonts w:ascii="Calibri" w:hAnsi="Calibri"/>
                <w:color w:val="000000"/>
                <w:sz w:val="22"/>
              </w:rPr>
              <w:t> </w:t>
            </w:r>
          </w:p>
        </w:tc>
        <w:tc>
          <w:tcPr>
            <w:tcW w:w="1498" w:type="dxa"/>
            <w:tcBorders>
              <w:top w:val="nil"/>
              <w:left w:val="nil"/>
              <w:bottom w:val="single" w:sz="4" w:space="0" w:color="auto"/>
              <w:right w:val="single" w:sz="4" w:space="0" w:color="auto"/>
            </w:tcBorders>
            <w:shd w:val="clear" w:color="auto" w:fill="auto"/>
            <w:noWrap/>
            <w:vAlign w:val="bottom"/>
            <w:hideMark/>
          </w:tcPr>
          <w:p w14:paraId="6D614AB4" w14:textId="77777777" w:rsidR="003B641D" w:rsidRDefault="003B641D" w:rsidP="003B641D">
            <w:pPr>
              <w:jc w:val="right"/>
              <w:rPr>
                <w:rFonts w:ascii="Calibri" w:hAnsi="Calibri"/>
                <w:color w:val="000000"/>
                <w:sz w:val="22"/>
              </w:rPr>
            </w:pPr>
            <w:r>
              <w:rPr>
                <w:rFonts w:ascii="Calibri" w:hAnsi="Calibri"/>
                <w:color w:val="000000"/>
                <w:sz w:val="22"/>
              </w:rPr>
              <w:t>92.210.836,54</w:t>
            </w:r>
          </w:p>
        </w:tc>
        <w:tc>
          <w:tcPr>
            <w:tcW w:w="1331" w:type="dxa"/>
            <w:tcBorders>
              <w:top w:val="nil"/>
              <w:left w:val="nil"/>
              <w:bottom w:val="single" w:sz="4" w:space="0" w:color="auto"/>
              <w:right w:val="single" w:sz="4" w:space="0" w:color="auto"/>
            </w:tcBorders>
            <w:shd w:val="clear" w:color="auto" w:fill="auto"/>
            <w:noWrap/>
            <w:vAlign w:val="bottom"/>
            <w:hideMark/>
          </w:tcPr>
          <w:p w14:paraId="487BDC7E" w14:textId="77777777" w:rsidR="003B641D" w:rsidRDefault="003B641D" w:rsidP="003B641D">
            <w:pPr>
              <w:jc w:val="right"/>
              <w:rPr>
                <w:rFonts w:ascii="Calibri" w:hAnsi="Calibri"/>
                <w:color w:val="000000"/>
                <w:sz w:val="22"/>
              </w:rPr>
            </w:pPr>
            <w:r>
              <w:rPr>
                <w:rFonts w:ascii="Calibri" w:hAnsi="Calibri"/>
                <w:color w:val="000000"/>
                <w:sz w:val="22"/>
              </w:rPr>
              <w:t>-23.244.959</w:t>
            </w:r>
          </w:p>
        </w:tc>
        <w:tc>
          <w:tcPr>
            <w:tcW w:w="1980" w:type="dxa"/>
            <w:tcBorders>
              <w:top w:val="nil"/>
              <w:left w:val="nil"/>
              <w:bottom w:val="single" w:sz="4" w:space="0" w:color="auto"/>
              <w:right w:val="single" w:sz="4" w:space="0" w:color="auto"/>
            </w:tcBorders>
            <w:shd w:val="clear" w:color="auto" w:fill="auto"/>
            <w:noWrap/>
            <w:vAlign w:val="bottom"/>
            <w:hideMark/>
          </w:tcPr>
          <w:p w14:paraId="52C6A66A" w14:textId="3E85607C" w:rsidR="003B641D" w:rsidRDefault="003B641D" w:rsidP="003B641D">
            <w:pPr>
              <w:jc w:val="right"/>
              <w:rPr>
                <w:rFonts w:ascii="Calibri" w:hAnsi="Calibri"/>
                <w:color w:val="000000"/>
                <w:sz w:val="22"/>
              </w:rPr>
            </w:pPr>
            <w:r>
              <w:rPr>
                <w:rFonts w:ascii="Calibri" w:hAnsi="Calibri"/>
                <w:color w:val="000000"/>
                <w:sz w:val="22"/>
              </w:rPr>
              <w:t>3.187.959</w:t>
            </w:r>
          </w:p>
        </w:tc>
        <w:tc>
          <w:tcPr>
            <w:tcW w:w="1980" w:type="dxa"/>
            <w:tcBorders>
              <w:top w:val="nil"/>
              <w:left w:val="nil"/>
              <w:bottom w:val="single" w:sz="4" w:space="0" w:color="auto"/>
              <w:right w:val="single" w:sz="4" w:space="0" w:color="auto"/>
            </w:tcBorders>
            <w:shd w:val="clear" w:color="auto" w:fill="auto"/>
            <w:noWrap/>
            <w:vAlign w:val="bottom"/>
            <w:hideMark/>
          </w:tcPr>
          <w:p w14:paraId="29EB05C7" w14:textId="77777777" w:rsidR="003B641D" w:rsidRDefault="003B641D" w:rsidP="003B641D">
            <w:pPr>
              <w:jc w:val="center"/>
              <w:rPr>
                <w:rFonts w:ascii="Calibri" w:hAnsi="Calibri"/>
                <w:color w:val="000000"/>
                <w:sz w:val="22"/>
              </w:rPr>
            </w:pPr>
            <w:r>
              <w:rPr>
                <w:rFonts w:ascii="Calibri" w:hAnsi="Calibri"/>
                <w:color w:val="000000"/>
                <w:sz w:val="22"/>
              </w:rPr>
              <w:t>72.153.836</w:t>
            </w:r>
          </w:p>
        </w:tc>
      </w:tr>
      <w:tr w:rsidR="003B641D" w14:paraId="34067419"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4A3266B" w14:textId="77777777" w:rsidR="003B641D" w:rsidRDefault="003B641D" w:rsidP="003B641D">
            <w:pPr>
              <w:rPr>
                <w:rFonts w:ascii="Calibri" w:hAnsi="Calibri"/>
                <w:color w:val="000000"/>
                <w:sz w:val="22"/>
              </w:rPr>
            </w:pPr>
            <w:r>
              <w:rPr>
                <w:rFonts w:ascii="Calibri" w:hAnsi="Calibri"/>
                <w:color w:val="000000"/>
                <w:sz w:val="22"/>
              </w:rPr>
              <w:t>ΟΓΑ</w:t>
            </w:r>
          </w:p>
        </w:tc>
        <w:tc>
          <w:tcPr>
            <w:tcW w:w="1300" w:type="dxa"/>
            <w:tcBorders>
              <w:top w:val="nil"/>
              <w:left w:val="nil"/>
              <w:bottom w:val="single" w:sz="4" w:space="0" w:color="auto"/>
              <w:right w:val="single" w:sz="4" w:space="0" w:color="auto"/>
            </w:tcBorders>
            <w:shd w:val="clear" w:color="auto" w:fill="auto"/>
            <w:noWrap/>
            <w:vAlign w:val="bottom"/>
            <w:hideMark/>
          </w:tcPr>
          <w:p w14:paraId="3205DAF9" w14:textId="77777777" w:rsidR="003B641D" w:rsidRDefault="003B641D" w:rsidP="003B641D">
            <w:pPr>
              <w:rPr>
                <w:rFonts w:ascii="Calibri" w:hAnsi="Calibri"/>
                <w:color w:val="000000"/>
                <w:sz w:val="22"/>
              </w:rPr>
            </w:pPr>
            <w:r>
              <w:rPr>
                <w:rFonts w:ascii="Calibri" w:hAnsi="Calibri"/>
                <w:color w:val="000000"/>
                <w:sz w:val="22"/>
              </w:rPr>
              <w:t> </w:t>
            </w:r>
          </w:p>
        </w:tc>
        <w:tc>
          <w:tcPr>
            <w:tcW w:w="1498" w:type="dxa"/>
            <w:tcBorders>
              <w:top w:val="nil"/>
              <w:left w:val="nil"/>
              <w:bottom w:val="single" w:sz="4" w:space="0" w:color="auto"/>
              <w:right w:val="single" w:sz="4" w:space="0" w:color="auto"/>
            </w:tcBorders>
            <w:shd w:val="clear" w:color="auto" w:fill="auto"/>
            <w:noWrap/>
            <w:vAlign w:val="bottom"/>
            <w:hideMark/>
          </w:tcPr>
          <w:p w14:paraId="25AE3EED" w14:textId="77777777" w:rsidR="003B641D" w:rsidRDefault="003B641D" w:rsidP="003B641D">
            <w:pPr>
              <w:rPr>
                <w:rFonts w:ascii="Calibri" w:hAnsi="Calibri"/>
                <w:color w:val="000000"/>
                <w:sz w:val="22"/>
              </w:rPr>
            </w:pPr>
            <w:r>
              <w:rPr>
                <w:rFonts w:ascii="Calibri" w:hAnsi="Calibri"/>
                <w:color w:val="000000"/>
                <w:sz w:val="22"/>
              </w:rPr>
              <w:t> </w:t>
            </w:r>
          </w:p>
        </w:tc>
        <w:tc>
          <w:tcPr>
            <w:tcW w:w="1331" w:type="dxa"/>
            <w:tcBorders>
              <w:top w:val="nil"/>
              <w:left w:val="nil"/>
              <w:bottom w:val="single" w:sz="4" w:space="0" w:color="auto"/>
              <w:right w:val="single" w:sz="4" w:space="0" w:color="auto"/>
            </w:tcBorders>
            <w:shd w:val="clear" w:color="auto" w:fill="auto"/>
            <w:noWrap/>
            <w:vAlign w:val="bottom"/>
            <w:hideMark/>
          </w:tcPr>
          <w:p w14:paraId="28B0D3FB" w14:textId="77777777" w:rsidR="003B641D" w:rsidRDefault="003B641D" w:rsidP="003B641D">
            <w:pPr>
              <w:rPr>
                <w:rFonts w:ascii="Calibri" w:hAnsi="Calibri"/>
                <w:color w:val="000000"/>
                <w:sz w:val="22"/>
              </w:rPr>
            </w:pPr>
            <w:r>
              <w:rPr>
                <w:rFonts w:ascii="Calibri" w:hAnsi="Calibri"/>
                <w:color w:val="000000"/>
                <w:sz w:val="22"/>
              </w:rPr>
              <w:t> </w:t>
            </w:r>
          </w:p>
        </w:tc>
        <w:tc>
          <w:tcPr>
            <w:tcW w:w="1980" w:type="dxa"/>
            <w:tcBorders>
              <w:top w:val="nil"/>
              <w:left w:val="nil"/>
              <w:bottom w:val="single" w:sz="4" w:space="0" w:color="auto"/>
              <w:right w:val="single" w:sz="4" w:space="0" w:color="auto"/>
            </w:tcBorders>
            <w:shd w:val="clear" w:color="auto" w:fill="auto"/>
            <w:noWrap/>
            <w:vAlign w:val="bottom"/>
            <w:hideMark/>
          </w:tcPr>
          <w:p w14:paraId="22C0FB68" w14:textId="2E7AE01F" w:rsidR="003B641D" w:rsidRDefault="00C8159E" w:rsidP="003B641D">
            <w:pPr>
              <w:jc w:val="right"/>
              <w:rPr>
                <w:rFonts w:ascii="Calibri" w:hAnsi="Calibri"/>
                <w:color w:val="000000"/>
                <w:sz w:val="22"/>
              </w:rPr>
            </w:pPr>
            <w:r>
              <w:rPr>
                <w:rFonts w:ascii="Calibri" w:hAnsi="Calibri"/>
                <w:b/>
                <w:bCs/>
                <w:noProof/>
                <w:color w:val="000000"/>
                <w:sz w:val="22"/>
                <w:lang w:val="el-GR" w:eastAsia="el-GR"/>
              </w:rPr>
              <mc:AlternateContent>
                <mc:Choice Requires="wps">
                  <w:drawing>
                    <wp:anchor distT="0" distB="0" distL="114300" distR="114300" simplePos="0" relativeHeight="251663360" behindDoc="0" locked="0" layoutInCell="1" allowOverlap="1" wp14:anchorId="564B1E67" wp14:editId="5F45186F">
                      <wp:simplePos x="0" y="0"/>
                      <wp:positionH relativeFrom="column">
                        <wp:posOffset>200025</wp:posOffset>
                      </wp:positionH>
                      <wp:positionV relativeFrom="paragraph">
                        <wp:posOffset>76835</wp:posOffset>
                      </wp:positionV>
                      <wp:extent cx="1354455" cy="340995"/>
                      <wp:effectExtent l="57150" t="19050" r="36195" b="97155"/>
                      <wp:wrapNone/>
                      <wp:docPr id="1" name="Έλλειψη 1"/>
                      <wp:cNvGraphicFramePr/>
                      <a:graphic xmlns:a="http://schemas.openxmlformats.org/drawingml/2006/main">
                        <a:graphicData uri="http://schemas.microsoft.com/office/word/2010/wordprocessingShape">
                          <wps:wsp>
                            <wps:cNvSpPr/>
                            <wps:spPr>
                              <a:xfrm>
                                <a:off x="0" y="0"/>
                                <a:ext cx="1354455" cy="340995"/>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Έλλειψη 1" o:spid="_x0000_s1026" style="position:absolute;margin-left:15.75pt;margin-top:6.05pt;width:106.6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" filled="f" strokecolor="red">
                      <v:shadow on="t" color="black" opacity="22937f" origin=",.5" offset="0,.63889mm"/>
                    </v:oval>
                  </w:pict>
                </mc:Fallback>
              </mc:AlternateContent>
            </w:r>
            <w:r w:rsidR="003B641D">
              <w:rPr>
                <w:rFonts w:ascii="Calibri" w:hAnsi="Calibri"/>
                <w:color w:val="000000"/>
                <w:sz w:val="22"/>
              </w:rPr>
              <w:t>91.250.840</w:t>
            </w:r>
          </w:p>
        </w:tc>
        <w:tc>
          <w:tcPr>
            <w:tcW w:w="1980" w:type="dxa"/>
            <w:tcBorders>
              <w:top w:val="nil"/>
              <w:left w:val="nil"/>
              <w:bottom w:val="single" w:sz="4" w:space="0" w:color="auto"/>
              <w:right w:val="single" w:sz="4" w:space="0" w:color="auto"/>
            </w:tcBorders>
            <w:shd w:val="clear" w:color="auto" w:fill="auto"/>
            <w:noWrap/>
            <w:vAlign w:val="bottom"/>
            <w:hideMark/>
          </w:tcPr>
          <w:p w14:paraId="60799999" w14:textId="77777777" w:rsidR="003B641D" w:rsidRDefault="003B641D" w:rsidP="003B641D">
            <w:pPr>
              <w:jc w:val="center"/>
              <w:rPr>
                <w:rFonts w:ascii="Calibri" w:hAnsi="Calibri"/>
                <w:color w:val="000000"/>
                <w:sz w:val="22"/>
              </w:rPr>
            </w:pPr>
            <w:r>
              <w:rPr>
                <w:rFonts w:ascii="Calibri" w:hAnsi="Calibri"/>
                <w:color w:val="000000"/>
                <w:sz w:val="22"/>
              </w:rPr>
              <w:t>91.250.840</w:t>
            </w:r>
          </w:p>
        </w:tc>
      </w:tr>
      <w:tr w:rsidR="003B641D" w14:paraId="4BED5257"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tcPr>
          <w:p w14:paraId="43F2EC48" w14:textId="6A7CB5D6" w:rsidR="003B641D" w:rsidRPr="003B641D" w:rsidRDefault="003B641D" w:rsidP="003B641D">
            <w:pPr>
              <w:rPr>
                <w:rFonts w:ascii="Calibri" w:hAnsi="Calibri"/>
                <w:b/>
                <w:color w:val="000000"/>
                <w:sz w:val="22"/>
                <w:lang w:val="el-GR"/>
              </w:rPr>
            </w:pPr>
            <w:r w:rsidRPr="003B641D">
              <w:rPr>
                <w:rFonts w:ascii="Calibri" w:hAnsi="Calibri"/>
                <w:b/>
                <w:color w:val="000000"/>
                <w:sz w:val="22"/>
                <w:lang w:val="el-GR"/>
              </w:rPr>
              <w:t>ΣΥΝΟΛΟ</w:t>
            </w:r>
          </w:p>
        </w:tc>
        <w:tc>
          <w:tcPr>
            <w:tcW w:w="1300" w:type="dxa"/>
            <w:tcBorders>
              <w:top w:val="nil"/>
              <w:left w:val="nil"/>
              <w:bottom w:val="single" w:sz="4" w:space="0" w:color="auto"/>
              <w:right w:val="single" w:sz="4" w:space="0" w:color="auto"/>
            </w:tcBorders>
            <w:shd w:val="clear" w:color="auto" w:fill="auto"/>
            <w:noWrap/>
            <w:vAlign w:val="bottom"/>
          </w:tcPr>
          <w:p w14:paraId="595F5A13" w14:textId="77777777" w:rsidR="003B641D" w:rsidRDefault="003B641D" w:rsidP="003B641D">
            <w:pPr>
              <w:rPr>
                <w:rFonts w:ascii="Calibri" w:hAnsi="Calibri"/>
                <w:color w:val="000000"/>
                <w:sz w:val="22"/>
              </w:rPr>
            </w:pPr>
          </w:p>
        </w:tc>
        <w:tc>
          <w:tcPr>
            <w:tcW w:w="1498" w:type="dxa"/>
            <w:tcBorders>
              <w:top w:val="nil"/>
              <w:left w:val="nil"/>
              <w:bottom w:val="single" w:sz="4" w:space="0" w:color="auto"/>
              <w:right w:val="single" w:sz="4" w:space="0" w:color="auto"/>
            </w:tcBorders>
            <w:shd w:val="clear" w:color="auto" w:fill="auto"/>
            <w:noWrap/>
            <w:vAlign w:val="bottom"/>
          </w:tcPr>
          <w:p w14:paraId="3A0F7587" w14:textId="77777777" w:rsidR="003B641D" w:rsidRDefault="003B641D" w:rsidP="003B641D">
            <w:pPr>
              <w:rPr>
                <w:rFonts w:ascii="Calibri" w:hAnsi="Calibri"/>
                <w:color w:val="000000"/>
                <w:sz w:val="22"/>
              </w:rPr>
            </w:pPr>
          </w:p>
        </w:tc>
        <w:tc>
          <w:tcPr>
            <w:tcW w:w="1331" w:type="dxa"/>
            <w:tcBorders>
              <w:top w:val="nil"/>
              <w:left w:val="nil"/>
              <w:bottom w:val="single" w:sz="4" w:space="0" w:color="auto"/>
              <w:right w:val="single" w:sz="4" w:space="0" w:color="auto"/>
            </w:tcBorders>
            <w:shd w:val="clear" w:color="auto" w:fill="auto"/>
            <w:noWrap/>
            <w:vAlign w:val="bottom"/>
          </w:tcPr>
          <w:p w14:paraId="7E1C81B9" w14:textId="1DD35D46" w:rsidR="003B641D" w:rsidRDefault="00C8159E" w:rsidP="003B641D">
            <w:pPr>
              <w:rPr>
                <w:rFonts w:ascii="Calibri" w:hAnsi="Calibri"/>
                <w:color w:val="000000"/>
                <w:sz w:val="22"/>
              </w:rPr>
            </w:pPr>
            <w:r>
              <w:rPr>
                <w:rFonts w:ascii="Calibri" w:hAnsi="Calibri"/>
                <w:b/>
                <w:bCs/>
                <w:noProof/>
                <w:color w:val="000000"/>
                <w:sz w:val="22"/>
                <w:lang w:val="el-GR" w:eastAsia="el-GR"/>
              </w:rPr>
              <mc:AlternateContent>
                <mc:Choice Requires="wps">
                  <w:drawing>
                    <wp:anchor distT="0" distB="0" distL="114300" distR="114300" simplePos="0" relativeHeight="251665408" behindDoc="0" locked="0" layoutInCell="1" allowOverlap="1" wp14:anchorId="3C8975F1" wp14:editId="41277F1D">
                      <wp:simplePos x="0" y="0"/>
                      <wp:positionH relativeFrom="column">
                        <wp:posOffset>175895</wp:posOffset>
                      </wp:positionH>
                      <wp:positionV relativeFrom="paragraph">
                        <wp:posOffset>140970</wp:posOffset>
                      </wp:positionV>
                      <wp:extent cx="1222375" cy="340995"/>
                      <wp:effectExtent l="57150" t="19050" r="34925" b="97155"/>
                      <wp:wrapNone/>
                      <wp:docPr id="2" name="Έλλειψη 2"/>
                      <wp:cNvGraphicFramePr/>
                      <a:graphic xmlns:a="http://schemas.openxmlformats.org/drawingml/2006/main">
                        <a:graphicData uri="http://schemas.microsoft.com/office/word/2010/wordprocessingShape">
                          <wps:wsp>
                            <wps:cNvSpPr/>
                            <wps:spPr>
                              <a:xfrm>
                                <a:off x="0" y="0"/>
                                <a:ext cx="1222375" cy="340995"/>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Έλλειψη 2" o:spid="_x0000_s1026" style="position:absolute;margin-left:13.85pt;margin-top:11.1pt;width:96.25pt;height: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" filled="f" strokecolor="red">
                      <v:shadow on="t" color="black" opacity="22937f" origin=",.5" offset="0,.63889mm"/>
                    </v:oval>
                  </w:pict>
                </mc:Fallback>
              </mc:AlternateContent>
            </w:r>
          </w:p>
        </w:tc>
        <w:tc>
          <w:tcPr>
            <w:tcW w:w="1980" w:type="dxa"/>
            <w:tcBorders>
              <w:top w:val="nil"/>
              <w:left w:val="nil"/>
              <w:bottom w:val="single" w:sz="4" w:space="0" w:color="auto"/>
              <w:right w:val="single" w:sz="4" w:space="0" w:color="auto"/>
            </w:tcBorders>
            <w:shd w:val="clear" w:color="auto" w:fill="auto"/>
            <w:noWrap/>
            <w:vAlign w:val="bottom"/>
          </w:tcPr>
          <w:p w14:paraId="26A99390" w14:textId="260CD037" w:rsidR="003B641D" w:rsidRPr="003B641D" w:rsidRDefault="003B641D" w:rsidP="003B641D">
            <w:pPr>
              <w:jc w:val="right"/>
              <w:rPr>
                <w:rFonts w:ascii="Calibri" w:hAnsi="Calibri"/>
                <w:b/>
                <w:color w:val="000000"/>
                <w:sz w:val="22"/>
                <w:lang w:val="el-GR"/>
              </w:rPr>
            </w:pPr>
            <w:r w:rsidRPr="003B641D">
              <w:rPr>
                <w:rFonts w:ascii="Calibri" w:hAnsi="Calibri"/>
                <w:b/>
                <w:color w:val="000000"/>
                <w:sz w:val="22"/>
                <w:lang w:val="el-GR"/>
              </w:rPr>
              <w:t>951.212.341</w:t>
            </w:r>
          </w:p>
        </w:tc>
        <w:tc>
          <w:tcPr>
            <w:tcW w:w="1980" w:type="dxa"/>
            <w:tcBorders>
              <w:top w:val="nil"/>
              <w:left w:val="nil"/>
              <w:bottom w:val="single" w:sz="4" w:space="0" w:color="auto"/>
              <w:right w:val="single" w:sz="4" w:space="0" w:color="auto"/>
            </w:tcBorders>
            <w:shd w:val="clear" w:color="auto" w:fill="auto"/>
            <w:noWrap/>
            <w:vAlign w:val="bottom"/>
          </w:tcPr>
          <w:p w14:paraId="528ED0CE" w14:textId="77777777" w:rsidR="003B641D" w:rsidRDefault="003B641D" w:rsidP="003B641D">
            <w:pPr>
              <w:jc w:val="center"/>
              <w:rPr>
                <w:rFonts w:ascii="Calibri" w:hAnsi="Calibri"/>
                <w:color w:val="000000"/>
                <w:sz w:val="22"/>
              </w:rPr>
            </w:pPr>
          </w:p>
        </w:tc>
      </w:tr>
      <w:tr w:rsidR="003B641D" w14:paraId="21B869DC" w14:textId="77777777" w:rsidTr="003B641D">
        <w:trPr>
          <w:trHeight w:val="300"/>
        </w:trPr>
        <w:tc>
          <w:tcPr>
            <w:tcW w:w="2400" w:type="dxa"/>
            <w:tcBorders>
              <w:top w:val="nil"/>
              <w:left w:val="single" w:sz="4" w:space="0" w:color="auto"/>
              <w:bottom w:val="single" w:sz="4" w:space="0" w:color="auto"/>
              <w:right w:val="single" w:sz="4" w:space="0" w:color="auto"/>
            </w:tcBorders>
            <w:shd w:val="clear" w:color="auto" w:fill="auto"/>
            <w:noWrap/>
            <w:vAlign w:val="bottom"/>
            <w:hideMark/>
          </w:tcPr>
          <w:p w14:paraId="76A0C409" w14:textId="77777777" w:rsidR="003B641D" w:rsidRDefault="003B641D" w:rsidP="003B641D">
            <w:pPr>
              <w:rPr>
                <w:rFonts w:ascii="Calibri" w:hAnsi="Calibri"/>
                <w:b/>
                <w:bCs/>
                <w:color w:val="000000"/>
                <w:sz w:val="22"/>
              </w:rPr>
            </w:pPr>
            <w:r>
              <w:rPr>
                <w:rFonts w:ascii="Calibri" w:hAnsi="Calibri"/>
                <w:b/>
                <w:bCs/>
                <w:color w:val="000000"/>
                <w:sz w:val="22"/>
              </w:rPr>
              <w:t>Γενικό Σύνολο (Α)</w:t>
            </w:r>
          </w:p>
        </w:tc>
        <w:tc>
          <w:tcPr>
            <w:tcW w:w="8089" w:type="dxa"/>
            <w:gridSpan w:val="5"/>
            <w:tcBorders>
              <w:top w:val="single" w:sz="4" w:space="0" w:color="auto"/>
              <w:left w:val="nil"/>
              <w:bottom w:val="single" w:sz="4" w:space="0" w:color="auto"/>
              <w:right w:val="single" w:sz="4" w:space="0" w:color="000000"/>
            </w:tcBorders>
            <w:shd w:val="clear" w:color="auto" w:fill="auto"/>
            <w:vAlign w:val="bottom"/>
            <w:hideMark/>
          </w:tcPr>
          <w:p w14:paraId="108D8F20" w14:textId="47038710" w:rsidR="003B641D" w:rsidRDefault="003B641D" w:rsidP="003B641D">
            <w:pPr>
              <w:jc w:val="center"/>
              <w:rPr>
                <w:rFonts w:ascii="Calibri" w:hAnsi="Calibri"/>
                <w:b/>
                <w:bCs/>
                <w:color w:val="000000"/>
                <w:sz w:val="22"/>
              </w:rPr>
            </w:pPr>
            <w:r>
              <w:rPr>
                <w:rFonts w:ascii="Calibri" w:hAnsi="Calibri"/>
                <w:b/>
                <w:bCs/>
                <w:color w:val="000000"/>
                <w:sz w:val="22"/>
              </w:rPr>
              <w:t>1.652.929.036</w:t>
            </w:r>
          </w:p>
        </w:tc>
      </w:tr>
    </w:tbl>
    <w:p w14:paraId="655FD63B" w14:textId="32FCFCCC" w:rsidR="003B641D" w:rsidRDefault="003B641D" w:rsidP="001640F7">
      <w:pPr>
        <w:spacing w:before="120" w:after="120" w:line="360" w:lineRule="auto"/>
        <w:jc w:val="both"/>
        <w:rPr>
          <w:rFonts w:asciiTheme="majorHAnsi" w:hAnsiTheme="majorHAnsi" w:cs="Tahoma"/>
          <w:color w:val="365F91" w:themeColor="accent1" w:themeShade="BF"/>
          <w:sz w:val="22"/>
          <w:u w:val="single"/>
          <w:lang w:val="el-GR"/>
        </w:rPr>
      </w:pPr>
    </w:p>
    <w:p w14:paraId="237C446A" w14:textId="77777777" w:rsidR="00B92A3C" w:rsidRDefault="001640F7" w:rsidP="00B92A3C">
      <w:pPr>
        <w:spacing w:before="120" w:after="120" w:line="360" w:lineRule="auto"/>
        <w:jc w:val="both"/>
        <w:rPr>
          <w:rFonts w:asciiTheme="majorHAnsi" w:hAnsiTheme="majorHAnsi" w:cs="Tahoma"/>
          <w:color w:val="365F91" w:themeColor="accent1" w:themeShade="BF"/>
          <w:sz w:val="22"/>
          <w:u w:val="single"/>
          <w:lang w:val="el-GR"/>
        </w:rPr>
      </w:pPr>
      <w:r>
        <w:rPr>
          <w:rFonts w:asciiTheme="majorHAnsi" w:hAnsiTheme="majorHAnsi" w:cs="Tahoma"/>
          <w:color w:val="365F91" w:themeColor="accent1" w:themeShade="BF"/>
          <w:sz w:val="22"/>
          <w:u w:val="single"/>
          <w:lang w:val="el-GR"/>
        </w:rPr>
        <w:t>Ληξιπρόθεσμες υποχρε</w:t>
      </w:r>
      <w:r w:rsidR="00B92A3C">
        <w:rPr>
          <w:rFonts w:asciiTheme="majorHAnsi" w:hAnsiTheme="majorHAnsi" w:cs="Tahoma"/>
          <w:color w:val="365F91" w:themeColor="accent1" w:themeShade="BF"/>
          <w:sz w:val="22"/>
          <w:u w:val="single"/>
          <w:lang w:val="el-GR"/>
        </w:rPr>
        <w:t>ώσεις</w:t>
      </w:r>
    </w:p>
    <w:p w14:paraId="008A7C28" w14:textId="27D01486" w:rsidR="00B92A3C" w:rsidRDefault="00B92A3C" w:rsidP="00B92A3C">
      <w:pPr>
        <w:spacing w:before="120" w:after="120" w:line="360" w:lineRule="auto"/>
        <w:jc w:val="both"/>
        <w:rPr>
          <w:rFonts w:asciiTheme="majorHAnsi" w:hAnsiTheme="majorHAnsi" w:cs="Tahoma"/>
          <w:iCs/>
          <w:sz w:val="22"/>
          <w:lang w:val="el-GR"/>
        </w:rPr>
      </w:pPr>
      <w:r w:rsidRPr="00B92A3C">
        <w:rPr>
          <w:rFonts w:asciiTheme="majorHAnsi" w:hAnsiTheme="majorHAnsi" w:cs="Tahoma"/>
          <w:iCs/>
          <w:sz w:val="22"/>
          <w:lang w:val="el-GR"/>
        </w:rPr>
        <w:t>Σε συνέχεια της προσπάθειας εκκαθάρισης των ληξιπρόθεσμων οφειλών της Γενικής Κυβέρνησης και υπό την προϋπόθεση της ομαλής χρηματοδότησης βάσει της Σύμβασης Οικονομικής Ενίσχυσης, σχεδιάζεται η επανεκκίνηση του προγράμματος χρηματοδότησης των φορέων της Γενικής Κυβέρνησης αποκλειστικά για την εξόφληση ληξιπρόθεσμων υποχρεώσεων με απώτερο στόχο τη σημαντική μείωση αυτών ως το τέλος του 2016.</w:t>
      </w:r>
      <w:r w:rsidR="00D601C7">
        <w:rPr>
          <w:rFonts w:asciiTheme="majorHAnsi" w:hAnsiTheme="majorHAnsi" w:cs="Tahoma"/>
          <w:iCs/>
          <w:sz w:val="22"/>
          <w:lang w:val="el-GR"/>
        </w:rPr>
        <w:t xml:space="preserve"> Η διαχρονική εξέλιξη των ληξιπρόθεσμων και απλήρωτων υποχρεώσεων του Οργανισμού παρουσιάζονται στον κάτωθι πίνακα: </w:t>
      </w:r>
    </w:p>
    <w:p w14:paraId="3911020A" w14:textId="77777777" w:rsidR="00CA7FE2" w:rsidRDefault="00CA7FE2" w:rsidP="00B92A3C">
      <w:pPr>
        <w:spacing w:before="120" w:after="120" w:line="360" w:lineRule="auto"/>
        <w:jc w:val="both"/>
        <w:rPr>
          <w:rFonts w:asciiTheme="majorHAnsi" w:hAnsiTheme="majorHAnsi" w:cs="Tahoma"/>
          <w:iCs/>
          <w:sz w:val="22"/>
          <w:lang w:val="el-GR"/>
        </w:rPr>
      </w:pPr>
    </w:p>
    <w:p w14:paraId="5C87FF04" w14:textId="715BEC7D" w:rsidR="00CA7FE2" w:rsidRPr="00CA7FE2" w:rsidRDefault="00CA7FE2" w:rsidP="00B92A3C">
      <w:pPr>
        <w:spacing w:before="120" w:after="120" w:line="360" w:lineRule="auto"/>
        <w:jc w:val="both"/>
        <w:rPr>
          <w:rFonts w:asciiTheme="majorHAnsi" w:hAnsiTheme="majorHAnsi" w:cs="Tahoma"/>
          <w:b/>
          <w:sz w:val="22"/>
          <w:lang w:val="el-GR"/>
        </w:rPr>
      </w:pPr>
      <w:r w:rsidRPr="00CA7FE2">
        <w:rPr>
          <w:rFonts w:asciiTheme="majorHAnsi" w:hAnsiTheme="majorHAnsi" w:cs="Tahoma"/>
          <w:b/>
          <w:iCs/>
          <w:sz w:val="22"/>
          <w:lang w:val="el-GR"/>
        </w:rPr>
        <w:t>Π</w:t>
      </w:r>
      <w:r>
        <w:rPr>
          <w:rFonts w:asciiTheme="majorHAnsi" w:hAnsiTheme="majorHAnsi" w:cs="Tahoma"/>
          <w:b/>
          <w:iCs/>
          <w:sz w:val="22"/>
          <w:lang w:val="el-GR"/>
        </w:rPr>
        <w:t>ίνακας 5</w:t>
      </w:r>
      <w:r w:rsidRPr="00CA7FE2">
        <w:rPr>
          <w:rFonts w:asciiTheme="majorHAnsi" w:hAnsiTheme="majorHAnsi" w:cs="Tahoma"/>
          <w:b/>
          <w:iCs/>
          <w:sz w:val="22"/>
          <w:lang w:val="el-GR"/>
        </w:rPr>
        <w:t>. Ληξιπρόθεσμες οφειλές ΕΟΠΥΥ</w:t>
      </w:r>
    </w:p>
    <w:tbl>
      <w:tblPr>
        <w:tblW w:w="8221" w:type="dxa"/>
        <w:tblInd w:w="299" w:type="dxa"/>
        <w:tblCellMar>
          <w:left w:w="0" w:type="dxa"/>
          <w:right w:w="0" w:type="dxa"/>
        </w:tblCellMar>
        <w:tblLook w:val="0600" w:firstRow="0" w:lastRow="0" w:firstColumn="0" w:lastColumn="0" w:noHBand="1" w:noVBand="1"/>
      </w:tblPr>
      <w:tblGrid>
        <w:gridCol w:w="992"/>
        <w:gridCol w:w="2552"/>
        <w:gridCol w:w="992"/>
        <w:gridCol w:w="2693"/>
        <w:gridCol w:w="992"/>
      </w:tblGrid>
      <w:tr w:rsidR="00CA7FE2" w:rsidRPr="00CA7FE2" w14:paraId="36633F2D" w14:textId="77777777" w:rsidTr="00CA7FE2">
        <w:trPr>
          <w:trHeight w:val="470"/>
        </w:trPr>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3BD60A57" w14:textId="77777777" w:rsidR="00014202" w:rsidRPr="00CA7FE2" w:rsidRDefault="00B92A3C" w:rsidP="00B92A3C">
            <w:pPr>
              <w:spacing w:before="120" w:after="120"/>
              <w:jc w:val="both"/>
              <w:rPr>
                <w:rFonts w:asciiTheme="majorHAnsi" w:hAnsiTheme="majorHAnsi" w:cs="Tahoma"/>
                <w:b/>
                <w:szCs w:val="20"/>
                <w:u w:val="single"/>
                <w:lang w:val="el-GR"/>
              </w:rPr>
            </w:pPr>
            <w:r w:rsidRPr="00CA7FE2">
              <w:rPr>
                <w:rFonts w:asciiTheme="majorHAnsi" w:hAnsiTheme="majorHAnsi" w:cs="Tahoma"/>
                <w:b/>
                <w:szCs w:val="20"/>
                <w:u w:val="single"/>
                <w:lang w:val="el-GR"/>
              </w:rPr>
              <w:t>Μήνας</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1D578380" w14:textId="14A5800C" w:rsidR="00014202" w:rsidRPr="00CA7FE2" w:rsidRDefault="00B92A3C" w:rsidP="00B92A3C">
            <w:pPr>
              <w:spacing w:before="120" w:after="120"/>
              <w:jc w:val="both"/>
              <w:rPr>
                <w:rFonts w:asciiTheme="majorHAnsi" w:hAnsiTheme="majorHAnsi" w:cs="Tahoma"/>
                <w:b/>
                <w:szCs w:val="20"/>
                <w:u w:val="single"/>
                <w:lang w:val="el-GR"/>
              </w:rPr>
            </w:pPr>
            <w:r w:rsidRPr="00CA7FE2">
              <w:rPr>
                <w:rFonts w:asciiTheme="majorHAnsi" w:hAnsiTheme="majorHAnsi" w:cs="Tahoma"/>
                <w:b/>
                <w:szCs w:val="20"/>
                <w:u w:val="single"/>
                <w:lang w:val="el-GR"/>
              </w:rPr>
              <w:t>Ληξιπρόθεσμες</w:t>
            </w:r>
            <w:r w:rsidR="00C9237D" w:rsidRPr="00CA7FE2">
              <w:rPr>
                <w:rFonts w:asciiTheme="majorHAnsi" w:hAnsiTheme="majorHAnsi" w:cs="Tahoma"/>
                <w:b/>
                <w:szCs w:val="20"/>
                <w:u w:val="single"/>
                <w:lang w:val="el-GR"/>
              </w:rPr>
              <w:t xml:space="preserve"> </w:t>
            </w:r>
            <w:r w:rsidRPr="00CA7FE2">
              <w:rPr>
                <w:rFonts w:asciiTheme="majorHAnsi" w:hAnsiTheme="majorHAnsi" w:cs="Tahoma"/>
                <w:b/>
                <w:szCs w:val="20"/>
                <w:u w:val="single"/>
                <w:lang w:val="el-GR"/>
              </w:rPr>
              <w:t>(&gt;90 ημέρες)</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15C7B73" w14:textId="77777777" w:rsidR="00014202" w:rsidRPr="00CA7FE2" w:rsidRDefault="00B92A3C" w:rsidP="00B92A3C">
            <w:pPr>
              <w:spacing w:before="120" w:after="120"/>
              <w:jc w:val="both"/>
              <w:rPr>
                <w:rFonts w:asciiTheme="majorHAnsi" w:hAnsiTheme="majorHAnsi" w:cs="Tahoma"/>
                <w:b/>
                <w:szCs w:val="20"/>
                <w:u w:val="single"/>
                <w:lang w:val="el-GR"/>
              </w:rPr>
            </w:pPr>
            <w:r w:rsidRPr="00CA7FE2">
              <w:rPr>
                <w:rFonts w:asciiTheme="majorHAnsi" w:hAnsiTheme="majorHAnsi" w:cs="Tahoma"/>
                <w:b/>
                <w:szCs w:val="20"/>
                <w:u w:val="single"/>
                <w:lang w:val="el-GR"/>
              </w:rPr>
              <w:t>μετ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13F8BC3A" w14:textId="7BDA69B0" w:rsidR="00014202" w:rsidRPr="00CA7FE2" w:rsidRDefault="00B92A3C" w:rsidP="00B92A3C">
            <w:pPr>
              <w:spacing w:before="120" w:after="120"/>
              <w:jc w:val="both"/>
              <w:rPr>
                <w:rFonts w:asciiTheme="majorHAnsi" w:hAnsiTheme="majorHAnsi" w:cs="Tahoma"/>
                <w:b/>
                <w:szCs w:val="20"/>
                <w:u w:val="single"/>
                <w:lang w:val="el-GR"/>
              </w:rPr>
            </w:pPr>
            <w:r w:rsidRPr="00CA7FE2">
              <w:rPr>
                <w:rFonts w:asciiTheme="majorHAnsi" w:hAnsiTheme="majorHAnsi" w:cs="Tahoma"/>
                <w:b/>
                <w:szCs w:val="20"/>
                <w:u w:val="single"/>
                <w:lang w:val="el-GR"/>
              </w:rPr>
              <w:t>Απλήρωτες Σύνολο  (&gt;1 ημέρα)</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14:paraId="4859C18E" w14:textId="77777777" w:rsidR="00014202" w:rsidRPr="00CA7FE2" w:rsidRDefault="00B92A3C" w:rsidP="00B92A3C">
            <w:pPr>
              <w:spacing w:before="120" w:after="120"/>
              <w:jc w:val="both"/>
              <w:rPr>
                <w:rFonts w:asciiTheme="majorHAnsi" w:hAnsiTheme="majorHAnsi" w:cs="Tahoma"/>
                <w:b/>
                <w:szCs w:val="20"/>
                <w:u w:val="single"/>
                <w:lang w:val="el-GR"/>
              </w:rPr>
            </w:pPr>
            <w:r w:rsidRPr="00CA7FE2">
              <w:rPr>
                <w:rFonts w:asciiTheme="majorHAnsi" w:hAnsiTheme="majorHAnsi" w:cs="Tahoma"/>
                <w:b/>
                <w:szCs w:val="20"/>
                <w:u w:val="single"/>
                <w:lang w:val="el-GR"/>
              </w:rPr>
              <w:t>μετ  %</w:t>
            </w:r>
          </w:p>
        </w:tc>
      </w:tr>
      <w:tr w:rsidR="00B92A3C" w:rsidRPr="00CA7FE2" w14:paraId="37AD326F"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87B6BF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Δεκ-11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EA2C5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2.183.296.098,33 €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FB4BDC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3E08A6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2.184.550.307,85 €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82968F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w:t>
            </w:r>
          </w:p>
        </w:tc>
      </w:tr>
      <w:tr w:rsidR="00B92A3C" w:rsidRPr="00CA7FE2" w14:paraId="1F72F5E3"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A74B09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lastRenderedPageBreak/>
              <w:t>Δεκ-12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A6F8F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2.731.632.158,42 €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A984A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25,12%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352D69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3.713.389.251,88 €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BFFCD4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69,98%</w:t>
            </w:r>
          </w:p>
        </w:tc>
      </w:tr>
      <w:tr w:rsidR="00B92A3C" w:rsidRPr="00CA7FE2" w14:paraId="5A373F2B"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84FB7E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Ιαν-13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54E890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2.673.084.467,22 €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0EBE4A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AEBD7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3.558.539.586,04 €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A77B6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-4,17%</w:t>
            </w:r>
          </w:p>
        </w:tc>
      </w:tr>
      <w:tr w:rsidR="00B92A3C" w:rsidRPr="00CA7FE2" w14:paraId="0005327B"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47F396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Φεβ-13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C9E3A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2.626.765.544,96 €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2F898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-1,73%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BD119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3.507.129.068,16 €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586AC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-1,44%</w:t>
            </w:r>
          </w:p>
        </w:tc>
      </w:tr>
      <w:tr w:rsidR="00B92A3C" w:rsidRPr="00CA7FE2" w14:paraId="3653A809"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6E588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Μαρ-13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46DD3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2.614.527.126,08 €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A1EBE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-0,47%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1E339E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3.552.490.967,31 €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53250D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1,29%</w:t>
            </w:r>
          </w:p>
        </w:tc>
      </w:tr>
      <w:tr w:rsidR="00B92A3C" w:rsidRPr="00CA7FE2" w14:paraId="1377BD94"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262450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Απρ-13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EFDE1C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2.459.923.062,88 €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CB3B6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-5,91%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B39DE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3.360.227.035,65 €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4BDE14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-5,41%</w:t>
            </w:r>
          </w:p>
        </w:tc>
      </w:tr>
      <w:tr w:rsidR="00B92A3C" w:rsidRPr="00CA7FE2" w14:paraId="6215A046"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3B0A25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Μαϊ-13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A51D48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2.548.146.630,05 €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540E5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3,59%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B7401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3.654.367.661,79 €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23022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8,75%</w:t>
            </w:r>
          </w:p>
        </w:tc>
      </w:tr>
      <w:tr w:rsidR="00B92A3C" w:rsidRPr="00CA7FE2" w14:paraId="7202F0E0"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2B29A0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Ιουν-13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8CC27B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2.569.867.950,27 €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1D107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0,85%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50D95C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3.675.470.881,96 €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537A00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0,58%</w:t>
            </w:r>
          </w:p>
        </w:tc>
      </w:tr>
      <w:tr w:rsidR="00B92A3C" w:rsidRPr="00CA7FE2" w14:paraId="39E2030F"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5DFB46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Ιουλ-13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18334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2.324.728.224,26 €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573E14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-9,54%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95C99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3.251.253.520,69 €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628DA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-11,54%</w:t>
            </w:r>
          </w:p>
        </w:tc>
      </w:tr>
      <w:tr w:rsidR="00B92A3C" w:rsidRPr="00CA7FE2" w14:paraId="2BB9C763"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9C2EC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Αυγ-13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BBDB2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2.252.940.349,15 €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D2D32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-3,09%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7FBB8F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3.164.129.035,27 €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EF4ADB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-2,68%</w:t>
            </w:r>
          </w:p>
        </w:tc>
      </w:tr>
      <w:tr w:rsidR="00B92A3C" w:rsidRPr="00CA7FE2" w14:paraId="607B1DEA"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122DC6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Σεπ-13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16D770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2.186.502.168,26 €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7B9F0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-2,95%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8FDF4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3.095.016.072,54 €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766E8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-2,18%</w:t>
            </w:r>
          </w:p>
        </w:tc>
      </w:tr>
      <w:tr w:rsidR="00B92A3C" w:rsidRPr="00CA7FE2" w14:paraId="71FBAFD3"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E3770E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Οκτ-13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F4028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2.161.320.479,76 €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12959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-1,15%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01AEC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3.038.888.843,28 €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69BCC5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-1,81%</w:t>
            </w:r>
          </w:p>
        </w:tc>
      </w:tr>
      <w:tr w:rsidR="00B92A3C" w:rsidRPr="00CA7FE2" w14:paraId="6C7859E6"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9519A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Νοε-13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605FA0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1.899.051.737,33 €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54C62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-12,13%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5421B8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2.835.322.682,99 €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427230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-6,70%</w:t>
            </w:r>
          </w:p>
        </w:tc>
      </w:tr>
      <w:tr w:rsidR="00B92A3C" w:rsidRPr="00CA7FE2" w14:paraId="610A0DF3"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1DC4E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Δεκ-13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1172DE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1.617.002.263,73 €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147DC6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-14,85%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CDFBA0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2.562.525.643,28 €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F0917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-9,62%</w:t>
            </w:r>
          </w:p>
        </w:tc>
      </w:tr>
      <w:tr w:rsidR="00B92A3C" w:rsidRPr="00CA7FE2" w14:paraId="505394AF"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C5FD3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Ιαν-14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8F197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1.820.033.408,26 €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CFD95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12,56%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D0ED6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2.726.757.723,28 €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2FDD9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6,41%</w:t>
            </w:r>
          </w:p>
        </w:tc>
      </w:tr>
      <w:tr w:rsidR="00B92A3C" w:rsidRPr="00CA7FE2" w14:paraId="1AC95402" w14:textId="77777777" w:rsidTr="00C9237D">
        <w:trPr>
          <w:trHeight w:val="16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7BE05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Φεβ-14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859DFC9"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1.940.096.158,97 €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AEB2A1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6,60%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ABA88C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2.872.274.448,56 €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11EEF2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5,34%</w:t>
            </w:r>
          </w:p>
        </w:tc>
      </w:tr>
      <w:tr w:rsidR="00B92A3C" w:rsidRPr="00CA7FE2" w14:paraId="03B10BAC"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A883F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Μαρ-14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3DBFC7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1.944.015.495,41 €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70BC3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0,20%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4F16E2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2.856.119.301,32 €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1BEF1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-0,56%</w:t>
            </w:r>
          </w:p>
        </w:tc>
      </w:tr>
      <w:tr w:rsidR="00B92A3C" w:rsidRPr="00CA7FE2" w14:paraId="0A299B99"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197AA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Απρ-14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84641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2.010.025.492,37 €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FFA78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3,40%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C9FD1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2.802.768.456,60 €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FE630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-1,87%</w:t>
            </w:r>
          </w:p>
        </w:tc>
      </w:tr>
      <w:tr w:rsidR="00B92A3C" w:rsidRPr="00CA7FE2" w14:paraId="2BDA4F26"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942FBD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Μαϊ-14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C38CD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2.008.875.234,61 €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FE0C8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-0,06%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634B39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2.805.297.709,32 €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DAD2E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0,09%</w:t>
            </w:r>
          </w:p>
        </w:tc>
      </w:tr>
      <w:tr w:rsidR="00B92A3C" w:rsidRPr="00CA7FE2" w14:paraId="78A81DDE"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11B2D4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Ιουν-14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A42F9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2.066.359.788,08 €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7C396F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5826D8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3.014.859.834,93 €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B07C9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7,47%</w:t>
            </w:r>
          </w:p>
        </w:tc>
      </w:tr>
      <w:tr w:rsidR="00B92A3C" w:rsidRPr="00CA7FE2" w14:paraId="1C6D8EEA"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48EC14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Ιουλ-14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990BA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1.420.604.237,26 €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61814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-31,25%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4A958B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2.356.479.461,60 €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BC0DE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-21,84%</w:t>
            </w:r>
          </w:p>
        </w:tc>
      </w:tr>
      <w:tr w:rsidR="00B92A3C" w:rsidRPr="00CA7FE2" w14:paraId="304E608C"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2106B9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Αυγ-14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FB7B3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1.505.728.098,04 €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CB3734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5,99%</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5B4E4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2.418.667.835,77 €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D5E21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2,64%</w:t>
            </w:r>
          </w:p>
        </w:tc>
      </w:tr>
      <w:tr w:rsidR="00B92A3C" w:rsidRPr="00CA7FE2" w14:paraId="6F8987C3"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DAA17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Σεπ-14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37049E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1.588.776.069,61 €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D1468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5,52%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8B16F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2.323.490.191,43 €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FDA40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-3,94%</w:t>
            </w:r>
          </w:p>
        </w:tc>
      </w:tr>
      <w:tr w:rsidR="00B92A3C" w:rsidRPr="00CA7FE2" w14:paraId="474341F6"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A2A361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Οκτ-14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6A83C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1.708.274.464,75 €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4F08B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7,52%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00E4BF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2.292.861.069,28 €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861E4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-1,32%</w:t>
            </w:r>
          </w:p>
        </w:tc>
      </w:tr>
      <w:tr w:rsidR="00B92A3C" w:rsidRPr="00CA7FE2" w14:paraId="47D34807"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46437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Νοε-14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9843C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1.543.369.487,91 €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6C8DF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-9,65%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8E4B5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2.155.057.434,99 €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0EE0F7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-6,01%</w:t>
            </w:r>
          </w:p>
        </w:tc>
      </w:tr>
      <w:tr w:rsidR="00B92A3C" w:rsidRPr="00CA7FE2" w14:paraId="76D371FD"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F7F168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Δεκ-14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90F4A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1.185.220.917,81 €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06141D"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-23,21%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93E82E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1.948.051.765,27 €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301CF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-9,61%</w:t>
            </w:r>
          </w:p>
        </w:tc>
      </w:tr>
      <w:tr w:rsidR="00B92A3C" w:rsidRPr="00CA7FE2" w14:paraId="44D1D647"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C8DD5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Ιαν-15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CE011C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1.219.315.903,27 €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B16911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2,88%</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CA5B4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1.997.798.556,58 €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1DA1B8"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2,55%</w:t>
            </w:r>
          </w:p>
        </w:tc>
      </w:tr>
      <w:tr w:rsidR="00B92A3C" w:rsidRPr="00CA7FE2" w14:paraId="481DA255"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11631B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Φεβ-15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B7F1899"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1.330.219.785,45 €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DF5F8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9,10%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55F9B0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2.212.373.699,26 €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CA1F4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10,74%</w:t>
            </w:r>
          </w:p>
        </w:tc>
      </w:tr>
      <w:tr w:rsidR="00B92A3C" w:rsidRPr="00CA7FE2" w14:paraId="4AC969E3"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3E966A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lastRenderedPageBreak/>
              <w:t>Μαρ-15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14E5D9"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1.417.622.591,99 €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8C277F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6,57%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823407"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2.259.817.519,83 €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912A179"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2,14%</w:t>
            </w:r>
          </w:p>
        </w:tc>
      </w:tr>
      <w:tr w:rsidR="00B92A3C" w:rsidRPr="00CA7FE2" w14:paraId="5080356E"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EFF58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Απρ-15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FAAB0C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1.517.541.466,38 €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24D9F3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7,05%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E296D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2.495.966.229,94 €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C0977C"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10,45%</w:t>
            </w:r>
          </w:p>
        </w:tc>
      </w:tr>
      <w:tr w:rsidR="00B92A3C" w:rsidRPr="00CA7FE2" w14:paraId="4A30C53F"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8E9E71"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Μαϊ-15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613AF4"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1.556.529.890,72 €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1F7DAE"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2,57%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254A49"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2.617.852.151,49 €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9FB6B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4,88%</w:t>
            </w:r>
          </w:p>
        </w:tc>
      </w:tr>
      <w:tr w:rsidR="00B92A3C" w:rsidRPr="00CA7FE2" w14:paraId="3BF3563B"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0BE205"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Ιουν-15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EAB56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1.633.269.371,81 €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3D22B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4,93%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6A275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2.700.819.312,22 €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74126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3,17%</w:t>
            </w:r>
          </w:p>
        </w:tc>
      </w:tr>
      <w:tr w:rsidR="00B92A3C" w:rsidRPr="00CA7FE2" w14:paraId="7CC6A8DE"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13FFAAA" w14:textId="23DE43D1" w:rsidR="00014202" w:rsidRPr="00CA7FE2" w:rsidRDefault="007D7CF9" w:rsidP="00B92A3C">
            <w:pPr>
              <w:spacing w:before="120" w:after="120"/>
              <w:jc w:val="both"/>
              <w:rPr>
                <w:rFonts w:asciiTheme="majorHAnsi" w:hAnsiTheme="majorHAnsi" w:cs="Tahoma"/>
                <w:szCs w:val="20"/>
                <w:u w:val="single"/>
                <w:lang w:val="el-GR"/>
              </w:rPr>
            </w:pPr>
            <w:r w:rsidRPr="00CA7FE2">
              <w:rPr>
                <w:rFonts w:ascii="Calibri" w:hAnsi="Calibri"/>
                <w:b/>
                <w:bCs/>
                <w:noProof/>
                <w:sz w:val="22"/>
                <w:lang w:val="el-GR" w:eastAsia="el-GR"/>
              </w:rPr>
              <mc:AlternateContent>
                <mc:Choice Requires="wps">
                  <w:drawing>
                    <wp:anchor distT="0" distB="0" distL="114300" distR="114300" simplePos="0" relativeHeight="251667456" behindDoc="0" locked="0" layoutInCell="1" allowOverlap="1" wp14:anchorId="5DC7037D" wp14:editId="4532BAA7">
                      <wp:simplePos x="0" y="0"/>
                      <wp:positionH relativeFrom="column">
                        <wp:posOffset>471805</wp:posOffset>
                      </wp:positionH>
                      <wp:positionV relativeFrom="paragraph">
                        <wp:posOffset>285750</wp:posOffset>
                      </wp:positionV>
                      <wp:extent cx="1354455" cy="340995"/>
                      <wp:effectExtent l="57150" t="19050" r="36195" b="97155"/>
                      <wp:wrapNone/>
                      <wp:docPr id="4" name="Έλλειψη 4"/>
                      <wp:cNvGraphicFramePr/>
                      <a:graphic xmlns:a="http://schemas.openxmlformats.org/drawingml/2006/main">
                        <a:graphicData uri="http://schemas.microsoft.com/office/word/2010/wordprocessingShape">
                          <wps:wsp>
                            <wps:cNvSpPr/>
                            <wps:spPr>
                              <a:xfrm>
                                <a:off x="0" y="0"/>
                                <a:ext cx="1354455" cy="340995"/>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Έλλειψη 4" o:spid="_x0000_s1026" style="position:absolute;margin-left:37.15pt;margin-top:22.5pt;width:106.65pt;height: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" filled="f" strokecolor="red">
                      <v:shadow on="t" color="black" opacity="22937f" origin=",.5" offset="0,.63889mm"/>
                    </v:oval>
                  </w:pict>
                </mc:Fallback>
              </mc:AlternateContent>
            </w:r>
            <w:r w:rsidR="00B92A3C" w:rsidRPr="00CA7FE2">
              <w:rPr>
                <w:rFonts w:asciiTheme="majorHAnsi" w:hAnsiTheme="majorHAnsi" w:cs="Tahoma"/>
                <w:szCs w:val="20"/>
                <w:u w:val="single"/>
                <w:lang w:val="el-GR"/>
              </w:rPr>
              <w:t>Ιουλ-15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800E7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1.707.924.418,62 €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B6F837" w14:textId="524F1572" w:rsidR="00014202" w:rsidRPr="00CA7FE2" w:rsidRDefault="007D7CF9" w:rsidP="00B92A3C">
            <w:pPr>
              <w:spacing w:before="120" w:after="120"/>
              <w:jc w:val="both"/>
              <w:rPr>
                <w:rFonts w:asciiTheme="majorHAnsi" w:hAnsiTheme="majorHAnsi" w:cs="Tahoma"/>
                <w:szCs w:val="20"/>
                <w:u w:val="single"/>
                <w:lang w:val="el-GR"/>
              </w:rPr>
            </w:pPr>
            <w:r w:rsidRPr="00CA7FE2">
              <w:rPr>
                <w:rFonts w:ascii="Calibri" w:hAnsi="Calibri"/>
                <w:b/>
                <w:bCs/>
                <w:noProof/>
                <w:sz w:val="22"/>
                <w:lang w:val="el-GR" w:eastAsia="el-GR"/>
              </w:rPr>
              <mc:AlternateContent>
                <mc:Choice Requires="wps">
                  <w:drawing>
                    <wp:anchor distT="0" distB="0" distL="114300" distR="114300" simplePos="0" relativeHeight="251669504" behindDoc="0" locked="0" layoutInCell="1" allowOverlap="1" wp14:anchorId="28555DCC" wp14:editId="1630C675">
                      <wp:simplePos x="0" y="0"/>
                      <wp:positionH relativeFrom="column">
                        <wp:posOffset>543560</wp:posOffset>
                      </wp:positionH>
                      <wp:positionV relativeFrom="paragraph">
                        <wp:posOffset>288290</wp:posOffset>
                      </wp:positionV>
                      <wp:extent cx="1354455" cy="340995"/>
                      <wp:effectExtent l="57150" t="19050" r="36195" b="97155"/>
                      <wp:wrapNone/>
                      <wp:docPr id="5" name="Έλλειψη 5"/>
                      <wp:cNvGraphicFramePr/>
                      <a:graphic xmlns:a="http://schemas.openxmlformats.org/drawingml/2006/main">
                        <a:graphicData uri="http://schemas.microsoft.com/office/word/2010/wordprocessingShape">
                          <wps:wsp>
                            <wps:cNvSpPr/>
                            <wps:spPr>
                              <a:xfrm>
                                <a:off x="0" y="0"/>
                                <a:ext cx="1354455" cy="340995"/>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oval id="Έλλειψη 5" o:spid="_x0000_s1026" style="position:absolute;margin-left:42.8pt;margin-top:22.7pt;width:106.6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" filled="f" strokecolor="red">
                      <v:shadow on="t" color="black" opacity="22937f" origin=",.5" offset="0,.63889mm"/>
                    </v:oval>
                  </w:pict>
                </mc:Fallback>
              </mc:AlternateContent>
            </w:r>
            <w:r w:rsidR="00B92A3C" w:rsidRPr="00CA7FE2">
              <w:rPr>
                <w:rFonts w:asciiTheme="majorHAnsi" w:hAnsiTheme="majorHAnsi" w:cs="Tahoma"/>
                <w:szCs w:val="20"/>
                <w:u w:val="single"/>
              </w:rPr>
              <w:t>4,57%</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5D424A"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2.872.535.984,56 €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C4ED0B"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6,36%</w:t>
            </w:r>
          </w:p>
        </w:tc>
      </w:tr>
      <w:tr w:rsidR="00B92A3C" w:rsidRPr="00CA7FE2" w14:paraId="5C3FE0C0" w14:textId="77777777" w:rsidTr="00C9237D">
        <w:trPr>
          <w:trHeight w:val="196"/>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493FD0"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lang w:val="el-GR"/>
              </w:rPr>
              <w:t>Αυγ-15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21EF72"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1.801.046.726,80 €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EBBD03"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5,45%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BED256"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2.919.323.969,25 €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E981A8F" w14:textId="77777777" w:rsidR="00014202" w:rsidRPr="00CA7FE2" w:rsidRDefault="00B92A3C" w:rsidP="00B92A3C">
            <w:pPr>
              <w:spacing w:before="120" w:after="120"/>
              <w:jc w:val="both"/>
              <w:rPr>
                <w:rFonts w:asciiTheme="majorHAnsi" w:hAnsiTheme="majorHAnsi" w:cs="Tahoma"/>
                <w:szCs w:val="20"/>
                <w:u w:val="single"/>
                <w:lang w:val="el-GR"/>
              </w:rPr>
            </w:pPr>
            <w:r w:rsidRPr="00CA7FE2">
              <w:rPr>
                <w:rFonts w:asciiTheme="majorHAnsi" w:hAnsiTheme="majorHAnsi" w:cs="Tahoma"/>
                <w:szCs w:val="20"/>
                <w:u w:val="single"/>
              </w:rPr>
              <w:t>1,63%</w:t>
            </w:r>
          </w:p>
        </w:tc>
      </w:tr>
    </w:tbl>
    <w:p w14:paraId="10BBFAD1" w14:textId="77777777" w:rsidR="00203C29" w:rsidRDefault="00203C29">
      <w:pPr>
        <w:rPr>
          <w:rFonts w:asciiTheme="majorHAnsi" w:hAnsiTheme="majorHAnsi" w:cs="Tahoma"/>
          <w:color w:val="365F91" w:themeColor="accent1" w:themeShade="BF"/>
          <w:sz w:val="22"/>
          <w:u w:val="single"/>
          <w:lang w:val="el-GR"/>
        </w:rPr>
      </w:pPr>
    </w:p>
    <w:p w14:paraId="4AD83E0A" w14:textId="30C5DDBB" w:rsidR="00203C29" w:rsidRPr="00C00D72" w:rsidRDefault="00203C29" w:rsidP="00C00D72">
      <w:pPr>
        <w:spacing w:before="120" w:after="120" w:line="360" w:lineRule="auto"/>
        <w:jc w:val="both"/>
        <w:rPr>
          <w:rFonts w:asciiTheme="majorHAnsi" w:hAnsiTheme="majorHAnsi"/>
          <w:sz w:val="22"/>
          <w:lang w:val="el-GR"/>
        </w:rPr>
      </w:pPr>
      <w:r w:rsidRPr="00C00D72">
        <w:rPr>
          <w:rFonts w:asciiTheme="majorHAnsi" w:hAnsiTheme="majorHAnsi"/>
          <w:sz w:val="22"/>
          <w:lang w:val="el-GR"/>
        </w:rPr>
        <w:t>Ο ΕΟΠΥΥ προκειμένου να αποδώσει στους συμβεβλημένους με αυτόν παρόχους το εναπομείναν 10% (που είχε παρακρατηθεί στα πλαίσια του πρόχειρου λογιστικού</w:t>
      </w:r>
      <w:r w:rsidR="00C8159E">
        <w:rPr>
          <w:rFonts w:asciiTheme="majorHAnsi" w:hAnsiTheme="majorHAnsi"/>
          <w:sz w:val="22"/>
          <w:lang w:val="el-GR"/>
        </w:rPr>
        <w:t xml:space="preserve"> ελέγχου</w:t>
      </w:r>
      <w:r w:rsidRPr="00C00D72">
        <w:rPr>
          <w:rFonts w:asciiTheme="majorHAnsi" w:hAnsiTheme="majorHAnsi"/>
          <w:sz w:val="22"/>
          <w:lang w:val="el-GR"/>
        </w:rPr>
        <w:t>) θα ξεκινήσει στο προσεχές διάστημα τους τελικούς για το σκοπό αυτό ελέγχους.</w:t>
      </w:r>
    </w:p>
    <w:p w14:paraId="0AD48B69" w14:textId="77777777" w:rsidR="00203C29" w:rsidRPr="00C00D72" w:rsidRDefault="00203C29" w:rsidP="00C00D72">
      <w:pPr>
        <w:spacing w:before="120" w:after="120" w:line="360" w:lineRule="auto"/>
        <w:jc w:val="both"/>
        <w:rPr>
          <w:rFonts w:asciiTheme="majorHAnsi" w:hAnsiTheme="majorHAnsi"/>
          <w:sz w:val="22"/>
          <w:lang w:val="el-GR"/>
        </w:rPr>
      </w:pPr>
      <w:r w:rsidRPr="00C00D72">
        <w:rPr>
          <w:rFonts w:asciiTheme="majorHAnsi" w:hAnsiTheme="majorHAnsi"/>
          <w:sz w:val="22"/>
          <w:lang w:val="el-GR"/>
        </w:rPr>
        <w:t xml:space="preserve">Έλεγχοι οι οποίοι θα αφορούν </w:t>
      </w:r>
      <w:r w:rsidRPr="00C00D72">
        <w:rPr>
          <w:rFonts w:asciiTheme="majorHAnsi" w:hAnsiTheme="majorHAnsi"/>
          <w:sz w:val="22"/>
        </w:rPr>
        <w:t> </w:t>
      </w:r>
      <w:r w:rsidRPr="00C00D72">
        <w:rPr>
          <w:rFonts w:asciiTheme="majorHAnsi" w:hAnsiTheme="majorHAnsi"/>
          <w:sz w:val="22"/>
          <w:lang w:val="el-GR"/>
        </w:rPr>
        <w:t xml:space="preserve">το έτος 2012. </w:t>
      </w:r>
    </w:p>
    <w:p w14:paraId="3A9BA7D4" w14:textId="108FF9BF" w:rsidR="00203C29" w:rsidRPr="00C00D72" w:rsidRDefault="00203C29" w:rsidP="00C00D72">
      <w:pPr>
        <w:spacing w:before="120" w:after="120" w:line="360" w:lineRule="auto"/>
        <w:jc w:val="both"/>
        <w:rPr>
          <w:rFonts w:asciiTheme="majorHAnsi" w:hAnsiTheme="majorHAnsi"/>
          <w:sz w:val="22"/>
          <w:lang w:val="el-GR"/>
        </w:rPr>
      </w:pPr>
      <w:r w:rsidRPr="00C00D72">
        <w:rPr>
          <w:rFonts w:asciiTheme="majorHAnsi" w:hAnsiTheme="majorHAnsi"/>
          <w:sz w:val="22"/>
          <w:lang w:val="el-GR"/>
        </w:rPr>
        <w:t xml:space="preserve">Τα ποσά τα οποία θα προκύψουν θα αποδοθούν στο παρόχους με αποτέλεσμα την τόνωση της πραγματικής οικονομίας αλλά </w:t>
      </w:r>
      <w:r w:rsidR="00C8159E" w:rsidRPr="00C00D72">
        <w:rPr>
          <w:rFonts w:asciiTheme="majorHAnsi" w:hAnsiTheme="majorHAnsi"/>
          <w:sz w:val="22"/>
          <w:lang w:val="el-GR"/>
        </w:rPr>
        <w:t>ταυτόχρονα</w:t>
      </w:r>
      <w:r w:rsidRPr="00C00D72">
        <w:rPr>
          <w:rFonts w:asciiTheme="majorHAnsi" w:hAnsiTheme="majorHAnsi"/>
          <w:sz w:val="22"/>
          <w:lang w:val="el-GR"/>
        </w:rPr>
        <w:t xml:space="preserve"> και την περαιτέρω μείωση των ληξιπρόθεσμων οφειλών του Οργανισμού.</w:t>
      </w:r>
    </w:p>
    <w:p w14:paraId="4F391590" w14:textId="0082546C" w:rsidR="007D7CF9" w:rsidRDefault="00203C29" w:rsidP="00203C29">
      <w:pPr>
        <w:rPr>
          <w:rFonts w:asciiTheme="majorHAnsi" w:hAnsiTheme="majorHAnsi" w:cs="Tahoma"/>
          <w:color w:val="365F91" w:themeColor="accent1" w:themeShade="BF"/>
          <w:sz w:val="22"/>
          <w:u w:val="single"/>
          <w:lang w:val="el-GR"/>
        </w:rPr>
      </w:pPr>
      <w:r>
        <w:rPr>
          <w:rFonts w:asciiTheme="majorHAnsi" w:hAnsiTheme="majorHAnsi" w:cs="Tahoma"/>
          <w:color w:val="365F91" w:themeColor="accent1" w:themeShade="BF"/>
          <w:sz w:val="22"/>
          <w:u w:val="single"/>
          <w:lang w:val="el-GR"/>
        </w:rPr>
        <w:t xml:space="preserve"> </w:t>
      </w:r>
      <w:r w:rsidR="007D7CF9">
        <w:rPr>
          <w:rFonts w:asciiTheme="majorHAnsi" w:hAnsiTheme="majorHAnsi" w:cs="Tahoma"/>
          <w:color w:val="365F91" w:themeColor="accent1" w:themeShade="BF"/>
          <w:sz w:val="22"/>
          <w:u w:val="single"/>
          <w:lang w:val="el-GR"/>
        </w:rPr>
        <w:br w:type="page"/>
      </w:r>
    </w:p>
    <w:p w14:paraId="2BAC991B" w14:textId="77777777" w:rsidR="007D7CF9" w:rsidRDefault="007D7CF9" w:rsidP="00827975">
      <w:pPr>
        <w:spacing w:before="120" w:after="120" w:line="360" w:lineRule="auto"/>
        <w:jc w:val="both"/>
        <w:rPr>
          <w:rFonts w:asciiTheme="majorHAnsi" w:hAnsiTheme="majorHAnsi" w:cs="Tahoma"/>
          <w:color w:val="365F91" w:themeColor="accent1" w:themeShade="BF"/>
          <w:sz w:val="22"/>
          <w:u w:val="single"/>
          <w:lang w:val="el-GR"/>
        </w:rPr>
      </w:pPr>
    </w:p>
    <w:p w14:paraId="28C5ABAA" w14:textId="77777777" w:rsidR="007D7CF9" w:rsidRPr="007D7CF9" w:rsidRDefault="007D7CF9" w:rsidP="007D7CF9">
      <w:pPr>
        <w:shd w:val="clear" w:color="auto" w:fill="DBE5F1" w:themeFill="accent1" w:themeFillTint="33"/>
        <w:spacing w:before="120" w:after="120" w:line="360" w:lineRule="auto"/>
        <w:jc w:val="both"/>
        <w:rPr>
          <w:rFonts w:asciiTheme="majorHAnsi" w:hAnsiTheme="majorHAnsi" w:cs="Tahoma"/>
          <w:b/>
          <w:color w:val="E36C0A" w:themeColor="accent6" w:themeShade="BF"/>
          <w:sz w:val="22"/>
          <w:lang w:val="el-GR"/>
        </w:rPr>
      </w:pPr>
      <w:r w:rsidRPr="00827975">
        <w:rPr>
          <w:rFonts w:asciiTheme="majorHAnsi" w:hAnsiTheme="majorHAnsi" w:cs="Tahoma"/>
          <w:b/>
          <w:color w:val="E36C0A" w:themeColor="accent6" w:themeShade="BF"/>
          <w:sz w:val="22"/>
          <w:lang w:val="el-GR"/>
        </w:rPr>
        <w:t>Διαχείριση φαρμακευτικής περίθαλψης</w:t>
      </w:r>
    </w:p>
    <w:p w14:paraId="28B4524A" w14:textId="77777777" w:rsidR="007D7CF9" w:rsidRDefault="007D7CF9" w:rsidP="00827975">
      <w:pPr>
        <w:spacing w:before="120" w:after="120" w:line="360" w:lineRule="auto"/>
        <w:jc w:val="both"/>
        <w:rPr>
          <w:rFonts w:asciiTheme="majorHAnsi" w:hAnsiTheme="majorHAnsi" w:cs="Tahoma"/>
          <w:color w:val="365F91" w:themeColor="accent1" w:themeShade="BF"/>
          <w:sz w:val="22"/>
          <w:u w:val="single"/>
          <w:lang w:val="el-GR"/>
        </w:rPr>
      </w:pPr>
    </w:p>
    <w:p w14:paraId="54D4A534" w14:textId="7F56112F" w:rsidR="00B64E10" w:rsidRPr="00827975" w:rsidRDefault="00B64E10"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Ιατροφαρμακευτική κάλυψη ανασφαλίστων</w:t>
      </w:r>
      <w:r w:rsidR="00711E28" w:rsidRPr="00827975">
        <w:rPr>
          <w:rFonts w:asciiTheme="majorHAnsi" w:hAnsiTheme="majorHAnsi" w:cs="Tahoma"/>
          <w:color w:val="365F91" w:themeColor="accent1" w:themeShade="BF"/>
          <w:sz w:val="22"/>
          <w:u w:val="single"/>
          <w:lang w:val="el-GR"/>
        </w:rPr>
        <w:t xml:space="preserve"> πολιτών</w:t>
      </w:r>
    </w:p>
    <w:p w14:paraId="6BBF7EEA" w14:textId="7F62F5D8" w:rsidR="00893E30"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Για πρώτη φορά δόθηκε ελεύθερη πρόσβαση σε υπηρεσίες φαρμακευτικής περίθαλψης σε πολίτες οι οποίοι στερούνται ασφαλιστικής ικανότητας, καθώς μπορούν κατόπιν συνταγογράφησης των σκευασμάτων από γιατρούς  του δημόσιου συστήματος να έχουν φάρμακα σύμφωνα με τους ίδιους όρους και προϋποθέσεις που ισχύουν για τους ασφαλισμένους. Συγκεκριμένα το 2014 χορηγήθηκαν φάρμακα σε 25.317 ασθενείς δικαιούχους του Ν.4270/2014</w:t>
      </w:r>
      <w:r w:rsidR="00960450">
        <w:rPr>
          <w:rFonts w:asciiTheme="majorHAnsi" w:hAnsiTheme="majorHAnsi"/>
          <w:sz w:val="22"/>
          <w:lang w:val="el-GR"/>
        </w:rPr>
        <w:t>,</w:t>
      </w:r>
      <w:r w:rsidRPr="00827975">
        <w:rPr>
          <w:rFonts w:asciiTheme="majorHAnsi" w:hAnsiTheme="majorHAnsi"/>
          <w:sz w:val="22"/>
          <w:lang w:val="el-GR"/>
        </w:rPr>
        <w:t xml:space="preserve"> δαπάνης </w:t>
      </w:r>
      <w:r w:rsidR="00960450">
        <w:rPr>
          <w:rFonts w:asciiTheme="majorHAnsi" w:hAnsiTheme="majorHAnsi"/>
          <w:sz w:val="22"/>
          <w:lang w:val="el-GR"/>
        </w:rPr>
        <w:t xml:space="preserve">ύψους </w:t>
      </w:r>
      <w:r w:rsidRPr="00827975">
        <w:rPr>
          <w:rFonts w:asciiTheme="majorHAnsi" w:hAnsiTheme="majorHAnsi"/>
          <w:sz w:val="22"/>
          <w:lang w:val="el-GR"/>
        </w:rPr>
        <w:t xml:space="preserve">2.171.337,17€., ενώ το α ‘ εξάμηνο 2015 χορηγήθηκαν φάρμακα σε 65.291 ασθενείς δικαιούχους του Ν.4270/2014 δαπάνης </w:t>
      </w:r>
      <w:r w:rsidR="00960450">
        <w:rPr>
          <w:rFonts w:asciiTheme="majorHAnsi" w:hAnsiTheme="majorHAnsi"/>
          <w:sz w:val="22"/>
          <w:lang w:val="el-GR"/>
        </w:rPr>
        <w:t xml:space="preserve">ύψους </w:t>
      </w:r>
      <w:r w:rsidRPr="00827975">
        <w:rPr>
          <w:rFonts w:asciiTheme="majorHAnsi" w:hAnsiTheme="majorHAnsi"/>
          <w:sz w:val="22"/>
          <w:lang w:val="el-GR"/>
        </w:rPr>
        <w:t xml:space="preserve">5.594.549,36€. </w:t>
      </w:r>
      <w:r w:rsidR="003B4A70">
        <w:rPr>
          <w:rFonts w:asciiTheme="majorHAnsi" w:hAnsiTheme="majorHAnsi"/>
          <w:sz w:val="22"/>
          <w:lang w:val="el-GR"/>
        </w:rPr>
        <w:t>Επίσης,</w:t>
      </w:r>
      <w:r w:rsidRPr="00827975">
        <w:rPr>
          <w:rFonts w:asciiTheme="majorHAnsi" w:hAnsiTheme="majorHAnsi"/>
          <w:sz w:val="22"/>
          <w:lang w:val="el-GR"/>
        </w:rPr>
        <w:t xml:space="preserve"> το Υπουργείο Υγείας σε συνεργασία με τους εμπλεκόμενους φορείς, μεταξύ των οποίων και ο ΕΟΠΥΥ, </w:t>
      </w:r>
      <w:r w:rsidR="003B4A70">
        <w:rPr>
          <w:rFonts w:asciiTheme="majorHAnsi" w:hAnsiTheme="majorHAnsi"/>
          <w:sz w:val="22"/>
          <w:lang w:val="el-GR"/>
        </w:rPr>
        <w:t xml:space="preserve"> εισήγαγε νέο</w:t>
      </w:r>
      <w:r w:rsidRPr="00827975">
        <w:rPr>
          <w:rFonts w:asciiTheme="majorHAnsi" w:hAnsiTheme="majorHAnsi"/>
          <w:sz w:val="22"/>
          <w:lang w:val="el-GR"/>
        </w:rPr>
        <w:t xml:space="preserve"> πλαίσιο </w:t>
      </w:r>
      <w:r w:rsidR="003B4A70">
        <w:rPr>
          <w:rFonts w:asciiTheme="majorHAnsi" w:hAnsiTheme="majorHAnsi"/>
          <w:sz w:val="22"/>
          <w:lang w:val="el-GR"/>
        </w:rPr>
        <w:t>για την παροχή υπηρεσιών υγείας και τη χορήγηση</w:t>
      </w:r>
      <w:r w:rsidRPr="00827975">
        <w:rPr>
          <w:rFonts w:asciiTheme="majorHAnsi" w:hAnsiTheme="majorHAnsi"/>
          <w:sz w:val="22"/>
          <w:lang w:val="el-GR"/>
        </w:rPr>
        <w:t xml:space="preserve"> φαρμάκων </w:t>
      </w:r>
      <w:r w:rsidR="003B4A70" w:rsidRPr="00827975">
        <w:rPr>
          <w:rFonts w:asciiTheme="majorHAnsi" w:hAnsiTheme="majorHAnsi"/>
          <w:sz w:val="22"/>
          <w:lang w:val="el-GR"/>
        </w:rPr>
        <w:t xml:space="preserve">από τον ΕΟΠΥΥ </w:t>
      </w:r>
      <w:r w:rsidRPr="00827975">
        <w:rPr>
          <w:rFonts w:asciiTheme="majorHAnsi" w:hAnsiTheme="majorHAnsi"/>
          <w:sz w:val="22"/>
          <w:lang w:val="el-GR"/>
        </w:rPr>
        <w:t>και στους δικαιούχους βιβλιαρίου απορίας</w:t>
      </w:r>
      <w:r w:rsidR="003B4A70">
        <w:rPr>
          <w:rFonts w:asciiTheme="majorHAnsi" w:hAnsiTheme="majorHAnsi"/>
          <w:sz w:val="22"/>
          <w:lang w:val="el-GR"/>
        </w:rPr>
        <w:t xml:space="preserve">, καθότι μέχρι σήμερα </w:t>
      </w:r>
      <w:r w:rsidRPr="00827975">
        <w:rPr>
          <w:rFonts w:asciiTheme="majorHAnsi" w:hAnsiTheme="majorHAnsi"/>
          <w:sz w:val="22"/>
          <w:lang w:val="el-GR"/>
        </w:rPr>
        <w:t xml:space="preserve">τα φάρμακα των απόρων διατίθενται μόνο από φαρμακεία </w:t>
      </w:r>
      <w:r w:rsidR="003B4A70">
        <w:rPr>
          <w:rFonts w:asciiTheme="majorHAnsi" w:hAnsiTheme="majorHAnsi"/>
          <w:sz w:val="22"/>
          <w:lang w:val="el-GR"/>
        </w:rPr>
        <w:t xml:space="preserve">των </w:t>
      </w:r>
      <w:r w:rsidRPr="00827975">
        <w:rPr>
          <w:rFonts w:asciiTheme="majorHAnsi" w:hAnsiTheme="majorHAnsi"/>
          <w:sz w:val="22"/>
          <w:lang w:val="el-GR"/>
        </w:rPr>
        <w:t xml:space="preserve">Νοσοκομείων </w:t>
      </w:r>
      <w:r w:rsidR="003B4A70">
        <w:rPr>
          <w:rFonts w:asciiTheme="majorHAnsi" w:hAnsiTheme="majorHAnsi"/>
          <w:sz w:val="22"/>
          <w:lang w:val="el-GR"/>
        </w:rPr>
        <w:t xml:space="preserve">του </w:t>
      </w:r>
      <w:r w:rsidRPr="00827975">
        <w:rPr>
          <w:rFonts w:asciiTheme="majorHAnsi" w:hAnsiTheme="majorHAnsi"/>
          <w:sz w:val="22"/>
          <w:lang w:val="el-GR"/>
        </w:rPr>
        <w:t xml:space="preserve">ΕΣΥ. </w:t>
      </w:r>
    </w:p>
    <w:p w14:paraId="2C2DCA5D"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18344ADB" w14:textId="7160C890" w:rsidR="009443E3" w:rsidRPr="00827975" w:rsidRDefault="009443E3"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Χορήγηση φαρμάκων υψηλού κόστους και ειδικών παθήσεων</w:t>
      </w:r>
    </w:p>
    <w:p w14:paraId="2C74D0EB" w14:textId="2BE0718A" w:rsidR="00893E30"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Ο ΕΟΠΥΥ αποζημιώνει πλήρως τα των φάρμακα υψηλού κόστους (ΦΥΚ) και ειδικών παθήσεων στο σύνολο των ασφαλισμένων με μηδενική συμμετοχή, ανεξαρτήτως του δικτύου χορήγησής τους. Το 2014 η δαπάνη για αυτά τα φάρμακα αφορούσε σε 841.794.191€</w:t>
      </w:r>
      <w:r w:rsidR="003B4A70">
        <w:rPr>
          <w:rFonts w:asciiTheme="majorHAnsi" w:hAnsiTheme="majorHAnsi"/>
          <w:sz w:val="22"/>
          <w:lang w:val="el-GR"/>
        </w:rPr>
        <w:t xml:space="preserve"> </w:t>
      </w:r>
      <w:r w:rsidRPr="00827975">
        <w:rPr>
          <w:rFonts w:asciiTheme="majorHAnsi" w:hAnsiTheme="majorHAnsi"/>
          <w:sz w:val="22"/>
          <w:lang w:val="el-GR"/>
        </w:rPr>
        <w:t>(εκ των οποίων τα 206.417.099€ νοσοκομειακής χρήσης) ενώ το πρώτο εξάμηνο του 2015 αφορά σε 492.827.393€ (εκ των οποίων 129.201.996€ νοσοκομειακής χρήσης). Διευκρινίζεται ότι το 2015 έχουμε την επίδραση της έκδοσης 3 Θετικών Καταλόγων με νέες δραστικές ουσίες που εκδόθηκαν εντός του 2014 που εισήγαγαν 76 νέες δραστικές ουσίες σε καθεστώς αποζημίωσης. Στις 26 Ιουνίου δημοσιεύτηκε μια νέα Θετική Λίστα που περιλαμβάνει 21 νέες δραστικές ουσίες  για αποζημίωση.</w:t>
      </w:r>
    </w:p>
    <w:p w14:paraId="73B91BE3"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4A3291CF" w14:textId="6EA2867F" w:rsidR="009443E3" w:rsidRPr="00827975" w:rsidRDefault="009443E3" w:rsidP="00827975">
      <w:pPr>
        <w:spacing w:before="120" w:after="120" w:line="360" w:lineRule="auto"/>
        <w:jc w:val="both"/>
        <w:rPr>
          <w:rFonts w:asciiTheme="majorHAnsi" w:hAnsiTheme="majorHAnsi" w:cs="Tahoma"/>
          <w:b/>
          <w:sz w:val="22"/>
          <w:lang w:val="el-GR"/>
        </w:rPr>
      </w:pPr>
      <w:r w:rsidRPr="00827975">
        <w:rPr>
          <w:rFonts w:asciiTheme="majorHAnsi" w:hAnsiTheme="majorHAnsi" w:cs="Tahoma"/>
          <w:color w:val="365F91" w:themeColor="accent1" w:themeShade="BF"/>
          <w:sz w:val="22"/>
          <w:u w:val="single"/>
          <w:lang w:val="el-GR"/>
        </w:rPr>
        <w:t>Προμήθεια νοσοκομειακών φαρμάκων από Φαρμακεία ΕΟΠΥΥ</w:t>
      </w:r>
    </w:p>
    <w:p w14:paraId="76394C72" w14:textId="135CEEF3" w:rsidR="007F70A5"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Δεδομένης της αδυναμίας </w:t>
      </w:r>
      <w:r w:rsidR="003B4A70">
        <w:rPr>
          <w:rFonts w:asciiTheme="majorHAnsi" w:hAnsiTheme="majorHAnsi"/>
          <w:sz w:val="22"/>
          <w:lang w:val="el-GR"/>
        </w:rPr>
        <w:t>αρκετών</w:t>
      </w:r>
      <w:r w:rsidRPr="00827975">
        <w:rPr>
          <w:rFonts w:asciiTheme="majorHAnsi" w:hAnsiTheme="majorHAnsi"/>
          <w:sz w:val="22"/>
          <w:lang w:val="el-GR"/>
        </w:rPr>
        <w:t xml:space="preserve"> νοσοκομείων να καλύψουν από κονδύλια του προϋπολογισμού τους τις ανάγκες των ασφαλισμένων για φάρμακα νοσοκομειακής χρήσης, ο ΕΟΠΥΥ διευκολύνει/εξυπηρετεί την παροχή των φαρμάκων αυτών από τα Φαρμακεία του σε </w:t>
      </w:r>
      <w:r w:rsidRPr="00827975">
        <w:rPr>
          <w:rFonts w:asciiTheme="majorHAnsi" w:hAnsiTheme="majorHAnsi"/>
          <w:sz w:val="22"/>
          <w:lang w:val="el-GR"/>
        </w:rPr>
        <w:lastRenderedPageBreak/>
        <w:t>όσα νοσοκομεία δηλώνουν αδυναμία προμήθειας. Συνολικά, για το έτος 2014, η δαπάνη για φάρμακα νοσοκομειακής χρήσης ανήλθε σε  206.417.099€ εκ. €. Με απόφαση του ΔΣ του ΕΟΠΥΥ</w:t>
      </w:r>
      <w:r w:rsidR="00FD0C30">
        <w:rPr>
          <w:rFonts w:asciiTheme="majorHAnsi" w:hAnsiTheme="majorHAnsi"/>
          <w:sz w:val="22"/>
          <w:lang w:val="el-GR"/>
        </w:rPr>
        <w:t xml:space="preserve">, </w:t>
      </w:r>
      <w:r w:rsidRPr="00827975">
        <w:rPr>
          <w:rFonts w:asciiTheme="majorHAnsi" w:hAnsiTheme="majorHAnsi"/>
          <w:sz w:val="22"/>
          <w:lang w:val="el-GR"/>
        </w:rPr>
        <w:t xml:space="preserve">προτάθηκε η </w:t>
      </w:r>
      <w:r w:rsidR="003B4A70">
        <w:rPr>
          <w:rFonts w:asciiTheme="majorHAnsi" w:hAnsiTheme="majorHAnsi"/>
          <w:sz w:val="22"/>
          <w:lang w:val="el-GR"/>
        </w:rPr>
        <w:t>διαμόρφωση του πλαισίου για την αξιοποίηση</w:t>
      </w:r>
      <w:r w:rsidRPr="00827975">
        <w:rPr>
          <w:rFonts w:asciiTheme="majorHAnsi" w:hAnsiTheme="majorHAnsi"/>
          <w:sz w:val="22"/>
          <w:lang w:val="el-GR"/>
        </w:rPr>
        <w:t xml:space="preserve"> της φαρμακαποθήκης του ΕΟΠΥΥ για την καλύτερη εξυπηρέτηση των ασφαλισμένων  για τα εν λόγω φάρμακα.</w:t>
      </w:r>
    </w:p>
    <w:p w14:paraId="1F6FC5F5"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7152E9BD" w14:textId="5355C1A2" w:rsidR="00B64E10" w:rsidRPr="00827975" w:rsidRDefault="00B64E10" w:rsidP="00827975">
      <w:pPr>
        <w:spacing w:before="120" w:after="120" w:line="360" w:lineRule="auto"/>
        <w:jc w:val="both"/>
        <w:rPr>
          <w:rFonts w:asciiTheme="majorHAnsi" w:hAnsiTheme="majorHAnsi" w:cs="Tahoma"/>
          <w:color w:val="365F91" w:themeColor="accent1" w:themeShade="BF"/>
          <w:sz w:val="22"/>
          <w:u w:val="single"/>
          <w:lang w:val="el-GR"/>
        </w:rPr>
      </w:pPr>
      <w:r w:rsidRPr="006E3747">
        <w:rPr>
          <w:rFonts w:asciiTheme="majorHAnsi" w:hAnsiTheme="majorHAnsi" w:cs="Tahoma"/>
          <w:color w:val="365F91" w:themeColor="accent1" w:themeShade="BF"/>
          <w:sz w:val="22"/>
          <w:u w:val="single"/>
          <w:lang w:val="el-GR"/>
        </w:rPr>
        <w:t>Πρόσβαση σε καινοτόμες θεραπείες που δεν κυκλοφορούν στην Ελλάδα</w:t>
      </w:r>
    </w:p>
    <w:p w14:paraId="1EE900F7" w14:textId="41DD8229" w:rsidR="00257B88"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Στο πλαίσιο της πρόσβασης των ασθενών σε ενδεδειγμένα θεραπευτικά σχήματα, ο ΕΟΠΥΥ καλύπτει την αποζημίωση σκευασμάτων τα οποία δεν κυκλοφορούν στην Ελλάδα και δεν καλύπτεται η </w:t>
      </w:r>
      <w:r w:rsidR="00387877">
        <w:rPr>
          <w:rFonts w:asciiTheme="majorHAnsi" w:hAnsiTheme="majorHAnsi"/>
          <w:sz w:val="22"/>
          <w:lang w:val="el-GR"/>
        </w:rPr>
        <w:t xml:space="preserve">σχετική </w:t>
      </w:r>
      <w:r w:rsidRPr="00827975">
        <w:rPr>
          <w:rFonts w:asciiTheme="majorHAnsi" w:hAnsiTheme="majorHAnsi"/>
          <w:sz w:val="22"/>
          <w:lang w:val="el-GR"/>
        </w:rPr>
        <w:t>ιατρική ανάγκη από κυκλοφορούντα στη χώρα φάρμακα. Ο ΕΟΠΥΥ διαθέτει 7 Επιτροπές Προέγκρισης Φαρμάκων. Ήδη έχει ξεκινήσει ηλεκτρονική προέγκριση αιτημάτων.</w:t>
      </w:r>
      <w:r w:rsidR="006E3747">
        <w:rPr>
          <w:rFonts w:asciiTheme="majorHAnsi" w:hAnsiTheme="majorHAnsi"/>
          <w:sz w:val="22"/>
          <w:lang w:val="el-GR"/>
        </w:rPr>
        <w:t xml:space="preserve"> Το κόστος των συγκεκριμένων σκευασμάτων εξωτερικού ανήλθε για το 2014 σε περίπου 22 εκ. </w:t>
      </w:r>
    </w:p>
    <w:p w14:paraId="1E0A1076"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41D20C80" w14:textId="57FC4FB1" w:rsidR="007F70A5" w:rsidRPr="00827975" w:rsidRDefault="007F70A5" w:rsidP="00827975">
      <w:pPr>
        <w:spacing w:before="120" w:after="120" w:line="360" w:lineRule="auto"/>
        <w:jc w:val="both"/>
        <w:rPr>
          <w:rFonts w:asciiTheme="majorHAnsi" w:hAnsiTheme="majorHAnsi" w:cs="Tahoma"/>
          <w:color w:val="365F91" w:themeColor="accent1" w:themeShade="BF"/>
          <w:sz w:val="22"/>
          <w:u w:val="single"/>
          <w:lang w:val="el-GR"/>
        </w:rPr>
      </w:pPr>
      <w:r w:rsidRPr="00C6496C">
        <w:rPr>
          <w:rFonts w:asciiTheme="majorHAnsi" w:hAnsiTheme="majorHAnsi" w:cs="Tahoma"/>
          <w:color w:val="365F91" w:themeColor="accent1" w:themeShade="BF"/>
          <w:sz w:val="22"/>
          <w:u w:val="single"/>
          <w:lang w:val="el-GR"/>
        </w:rPr>
        <w:t>Κοινωνικά Φαρμακεία</w:t>
      </w:r>
    </w:p>
    <w:p w14:paraId="2A3615EE" w14:textId="4C63CFF5" w:rsidR="008A1EBF" w:rsidRDefault="008A1EBF" w:rsidP="00827975">
      <w:pPr>
        <w:spacing w:before="120" w:after="120" w:line="360" w:lineRule="auto"/>
        <w:jc w:val="both"/>
        <w:rPr>
          <w:rFonts w:asciiTheme="majorHAnsi" w:hAnsiTheme="majorHAnsi" w:cs="Tahoma"/>
          <w:sz w:val="22"/>
          <w:lang w:val="el-GR"/>
        </w:rPr>
      </w:pPr>
      <w:r w:rsidRPr="00827975">
        <w:rPr>
          <w:rFonts w:asciiTheme="majorHAnsi" w:hAnsiTheme="majorHAnsi" w:cs="Tahoma"/>
          <w:sz w:val="22"/>
        </w:rPr>
        <w:t>O</w:t>
      </w:r>
      <w:r w:rsidRPr="00827975">
        <w:rPr>
          <w:rFonts w:asciiTheme="majorHAnsi" w:hAnsiTheme="majorHAnsi" w:cs="Tahoma"/>
          <w:sz w:val="22"/>
          <w:lang w:val="el-GR"/>
        </w:rPr>
        <w:t xml:space="preserve"> ΕΟΠΥΥ διαθέτει 4 κοινωνικά φαρμακεία τα οποία παρέχουν πρόσβαση στη θεραπευτική αγωγή σε ασφαλισμένους οι οποίοι αδυνατούν να καταβάλλουν το ποσοστό θεσμοθετημένης συμμετοχής. Το πλήθος των ωφελουμένων από τα 4 κοινωνικά φαρμακεία του ΕΟΠΥΥ, ανέρχεται σε περίπου 50.000 ασφαλισμένους.  </w:t>
      </w:r>
    </w:p>
    <w:p w14:paraId="03264B26" w14:textId="77777777" w:rsidR="00717225" w:rsidRPr="00717225" w:rsidRDefault="00717225" w:rsidP="00827975">
      <w:pPr>
        <w:spacing w:before="120" w:after="120" w:line="360" w:lineRule="auto"/>
        <w:jc w:val="both"/>
        <w:rPr>
          <w:rFonts w:asciiTheme="majorHAnsi" w:hAnsiTheme="majorHAnsi" w:cs="Tahoma"/>
          <w:b/>
          <w:sz w:val="22"/>
          <w:lang w:val="el-GR"/>
        </w:rPr>
      </w:pPr>
    </w:p>
    <w:p w14:paraId="0C3B057B" w14:textId="6A9C5885" w:rsidR="00981F57" w:rsidRPr="00827975" w:rsidRDefault="00981F57"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Θεσμοθέτηση εξάμηνων επαναλαμβανόμενων συνταγών</w:t>
      </w:r>
    </w:p>
    <w:p w14:paraId="473B38E0" w14:textId="07079A79" w:rsidR="00BC70BF"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Προς εξυπηρέτηση των ασφαλισμένων οι οποίοι πάσχουν από χρόνιες παθήσεις, κατόπιν εισήγησης του ΕΟΠΥΥ και έκδοσης σχετικής Υπουργικής Απόφασης, καθιερώθηκαν οι εξάμηνες επαναλαμβανόμενες συνταγές για χρόνια νοσήματα, προκειμένου να ανακουφιστούν οι πληθυσμιακές αυτές ομάδες από τη μηνιαία ταλαιπωρία της επίσκεψης στον ιατρό και τη συνταγογράφηση. </w:t>
      </w:r>
    </w:p>
    <w:p w14:paraId="6F1DA0D5"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72F999E7" w14:textId="77777777" w:rsidR="00BC70BF" w:rsidRPr="00827975" w:rsidRDefault="00BC70BF" w:rsidP="00827975">
      <w:pPr>
        <w:pStyle w:val="a4"/>
        <w:spacing w:before="120" w:after="120" w:line="360" w:lineRule="auto"/>
        <w:ind w:right="-11"/>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Πρόγραμμα κατ’ οίκον παράδοσης φαρμάκων από φαρμακεία ΕΟΠΥΥ</w:t>
      </w:r>
    </w:p>
    <w:p w14:paraId="0A28E32B" w14:textId="47B9BD69" w:rsidR="000D3204"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Για την αναγκαιότητα της κατ’</w:t>
      </w:r>
      <w:r w:rsidR="00387877">
        <w:rPr>
          <w:rFonts w:asciiTheme="majorHAnsi" w:hAnsiTheme="majorHAnsi"/>
          <w:sz w:val="22"/>
          <w:lang w:val="el-GR"/>
        </w:rPr>
        <w:t xml:space="preserve"> </w:t>
      </w:r>
      <w:r w:rsidRPr="00827975">
        <w:rPr>
          <w:rFonts w:asciiTheme="majorHAnsi" w:hAnsiTheme="majorHAnsi"/>
          <w:sz w:val="22"/>
          <w:lang w:val="el-GR"/>
        </w:rPr>
        <w:t>οίκον παράδοσης φαρμάκων υπάρχει σχετική απόφαση ΔΣ του ΕΟΠΥΥ. Κατόπιν αυτού εκδόθηκε Υπουργική Απόφαση που εξειδίκευσε ότι στο σκοπό του ΕΟΠΥΥ με βάση τα οριζόμενα στο άρθρο 8 παρ 1β και παρ2 του Ν.4238/2014 περιλαμβάνεται η υπηρεσία της κατ’</w:t>
      </w:r>
      <w:r w:rsidR="00387877">
        <w:rPr>
          <w:rFonts w:asciiTheme="majorHAnsi" w:hAnsiTheme="majorHAnsi"/>
          <w:sz w:val="22"/>
          <w:lang w:val="el-GR"/>
        </w:rPr>
        <w:t xml:space="preserve"> </w:t>
      </w:r>
      <w:r w:rsidRPr="00827975">
        <w:rPr>
          <w:rFonts w:asciiTheme="majorHAnsi" w:hAnsiTheme="majorHAnsi"/>
          <w:sz w:val="22"/>
          <w:lang w:val="el-GR"/>
        </w:rPr>
        <w:t xml:space="preserve">οίκον παράδοσης φαρμάκων και οι λεπτομέρειες εφαρμογής θα </w:t>
      </w:r>
      <w:r w:rsidRPr="00827975">
        <w:rPr>
          <w:rFonts w:asciiTheme="majorHAnsi" w:hAnsiTheme="majorHAnsi"/>
          <w:sz w:val="22"/>
          <w:lang w:val="el-GR"/>
        </w:rPr>
        <w:lastRenderedPageBreak/>
        <w:t>καθοριστούν με απόφαση ΔΣ ΕΟΠΥΥ. Παράλληλα, ο Οργανισμός κατέθεσε πρόταση για χρηματοδότηση μέσω ΕΣΠΑ των εν λόγω προγραμμάτων.</w:t>
      </w:r>
    </w:p>
    <w:p w14:paraId="5EAFF5C7"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2C300506" w14:textId="774783DE" w:rsidR="00257B88" w:rsidRPr="00827975" w:rsidRDefault="00257B88"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Επικαιροποίηση καταλόγου και καθορισμός προϋποθέσεων χορήγησης θεραπευτικών μέσων που αποζημιώνει ο ΕΟΠΥΥ</w:t>
      </w:r>
    </w:p>
    <w:p w14:paraId="490C6A6E" w14:textId="1C4419B5" w:rsidR="0033768E"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Καταρτίστηκε από τη Διεύθυνση Φαρμάκου του ΕΟΠΥΥ λίστα με διαιτητικά τρόφιμα για ειδικούς σκοπούς (FSMPs), τα οποία αποζημιώνονται από τα αντίστοιχα Τμήματα Παροχών του Οργανισμού (με τις αντίστοιχες τιμές αποζημίωσης), η οποία επικαιροποιείται σε τακτά χρονικά διαστήματα με την ένταξη νέων. Αναφορικά με το αναλώσιμο υγειονομικό υλικό, προϋπόθεση για την αποζημίωση είναι η γνωστοποίηση των ειδών, προ της αποζημίωσής τους, στον ΕΟΦ και στο ΕΚΑΠΤΥ. Αρχής γενομένης από τα επιθέματα και τα οστομικά ζητήθηκαν από τους προμηθευτές</w:t>
      </w:r>
      <w:r w:rsidR="00387877">
        <w:rPr>
          <w:rFonts w:asciiTheme="majorHAnsi" w:hAnsiTheme="majorHAnsi"/>
          <w:sz w:val="22"/>
          <w:lang w:val="el-GR"/>
        </w:rPr>
        <w:t>,</w:t>
      </w:r>
      <w:r w:rsidRPr="00827975">
        <w:rPr>
          <w:rFonts w:asciiTheme="majorHAnsi" w:hAnsiTheme="majorHAnsi"/>
          <w:sz w:val="22"/>
          <w:lang w:val="el-GR"/>
        </w:rPr>
        <w:t xml:space="preserve"> με πρωτοβουλία του ΕΟΠΥΥ</w:t>
      </w:r>
      <w:r w:rsidR="00387877">
        <w:rPr>
          <w:rFonts w:asciiTheme="majorHAnsi" w:hAnsiTheme="majorHAnsi"/>
          <w:sz w:val="22"/>
          <w:lang w:val="el-GR"/>
        </w:rPr>
        <w:t>,</w:t>
      </w:r>
      <w:r w:rsidRPr="00827975">
        <w:rPr>
          <w:rFonts w:asciiTheme="majorHAnsi" w:hAnsiTheme="majorHAnsi"/>
          <w:sz w:val="22"/>
          <w:lang w:val="el-GR"/>
        </w:rPr>
        <w:t xml:space="preserve"> οι τρεις χαμηλότερες τιμές της Ε.Ε. δεδομένου ότι δεν υπάρχει επίσημο δίκτυο καταγραφής τιμών των ιατροτεχνολογικών αντίστοιχα με του φαρμάκου. Τα ανωτέρω είναι προϋπόθεση της ηλεκτρονικής έκδοσης και εκτέλεσης γνωματεύσεων ιατροτεχνολογικών προϊόντων.</w:t>
      </w:r>
    </w:p>
    <w:p w14:paraId="1F74C184"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7C5BE608" w14:textId="465B588E" w:rsidR="0033768E" w:rsidRPr="00827975" w:rsidRDefault="0033768E"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 xml:space="preserve">Μητρώα ασθενών </w:t>
      </w:r>
    </w:p>
    <w:p w14:paraId="164898A2" w14:textId="118313AD" w:rsidR="00837AEF"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O ΕΟΠΥΥ</w:t>
      </w:r>
      <w:r w:rsidR="00FD0C30">
        <w:rPr>
          <w:rFonts w:asciiTheme="majorHAnsi" w:hAnsiTheme="majorHAnsi"/>
          <w:sz w:val="22"/>
          <w:lang w:val="el-GR"/>
        </w:rPr>
        <w:t xml:space="preserve"> συνεργάζεται με το Υπουργείο Υγείας και </w:t>
      </w:r>
      <w:r w:rsidRPr="00827975">
        <w:rPr>
          <w:rFonts w:asciiTheme="majorHAnsi" w:hAnsiTheme="majorHAnsi"/>
          <w:sz w:val="22"/>
          <w:lang w:val="el-GR"/>
        </w:rPr>
        <w:t xml:space="preserve">την πανεπιστημιακή κοινότητα για τη δημιουργία, ανάπτυξη και συντήρηση μητρώων ασθενών (registries), χωρίς να επιβαρύνεται ο προϋπολογισμός του Οργανισμού και με πλήρη συμμόρφωση στη νομοθεσία περί ευαίσθητων προσωπικών δεδομένων. Στα μητρώα αυτά καταγράφονται οι ασθενείς που πάσχουν από ορισμένο νόσημα καθώς μέσω των μητρώων είναι δυνατή η καλύτερη διαχείριση της νόσου, η ορθή χρήση των φαρμακευτικών σκευασμάτων και η δημιουργία ενός σύγχρονου πλαισίου πρόσβασης των ασθενών στις θεραπείες. Τα μητρώα δύνανται να αποτελέσουν βασικό εργαλείο της διαπραγμάτευσης με τις φαρμακευτικές εταιρείες αναφορικά με τις τιμές αποζημίωσης και της σύναψης συμφωνιών ελεγχόμενης πρόσβασης (managed entry agreements). Το πρώτο μητρώο, αυτό της Ηπατίτιδας C, έχει ξεκινήσει να λειτουργεί, δύο ακόμη βρίσκονται στο τελικό </w:t>
      </w:r>
      <w:r w:rsidR="00387877">
        <w:rPr>
          <w:rFonts w:asciiTheme="majorHAnsi" w:hAnsiTheme="majorHAnsi"/>
          <w:sz w:val="22"/>
          <w:lang w:val="el-GR"/>
        </w:rPr>
        <w:t>στάδιο της παράδοσής τους, ήτοι</w:t>
      </w:r>
      <w:r w:rsidRPr="00827975">
        <w:rPr>
          <w:rFonts w:asciiTheme="majorHAnsi" w:hAnsiTheme="majorHAnsi"/>
          <w:sz w:val="22"/>
          <w:lang w:val="el-GR"/>
        </w:rPr>
        <w:t xml:space="preserve"> της Χρόνιας Μυελογενούς Λευχαιμίας και της Σκλήρυνσης Κατά Πλάκας,</w:t>
      </w:r>
      <w:r w:rsidR="00FD0C30">
        <w:rPr>
          <w:rFonts w:asciiTheme="majorHAnsi" w:hAnsiTheme="majorHAnsi"/>
          <w:sz w:val="22"/>
          <w:lang w:val="el-GR"/>
        </w:rPr>
        <w:t xml:space="preserve"> τα οποία αναμένεται να λειτουργήσουν </w:t>
      </w:r>
      <w:r w:rsidR="00387877">
        <w:rPr>
          <w:rFonts w:asciiTheme="majorHAnsi" w:hAnsiTheme="majorHAnsi"/>
          <w:sz w:val="22"/>
          <w:lang w:val="el-GR"/>
        </w:rPr>
        <w:t>εντός του</w:t>
      </w:r>
      <w:r w:rsidR="00FD0C30">
        <w:rPr>
          <w:rFonts w:asciiTheme="majorHAnsi" w:hAnsiTheme="majorHAnsi"/>
          <w:sz w:val="22"/>
          <w:lang w:val="el-GR"/>
        </w:rPr>
        <w:t xml:space="preserve"> 2015,</w:t>
      </w:r>
      <w:r w:rsidRPr="00827975">
        <w:rPr>
          <w:rFonts w:asciiTheme="majorHAnsi" w:hAnsiTheme="majorHAnsi"/>
          <w:sz w:val="22"/>
          <w:lang w:val="el-GR"/>
        </w:rPr>
        <w:t xml:space="preserve"> ενώ είναι υπό ανάπτυξη μητρώα για την Οικογενή Υπερχοληστερολαιμία και για τον καρκίνο του πνεύμονα.</w:t>
      </w:r>
    </w:p>
    <w:p w14:paraId="5D309FD8" w14:textId="77777777" w:rsidR="00717225" w:rsidRPr="00827975" w:rsidRDefault="00717225" w:rsidP="00827975">
      <w:pPr>
        <w:pStyle w:val="a4"/>
        <w:spacing w:before="120" w:after="120" w:line="360" w:lineRule="auto"/>
        <w:jc w:val="both"/>
        <w:rPr>
          <w:rFonts w:asciiTheme="majorHAnsi" w:hAnsiTheme="majorHAnsi"/>
          <w:sz w:val="22"/>
          <w:lang w:val="el-GR"/>
        </w:rPr>
      </w:pPr>
    </w:p>
    <w:p w14:paraId="4FCB9ADA" w14:textId="07E269BD" w:rsidR="00837AEF" w:rsidRPr="00827975" w:rsidRDefault="00837AEF" w:rsidP="00827975">
      <w:pPr>
        <w:autoSpaceDE w:val="0"/>
        <w:autoSpaceDN w:val="0"/>
        <w:adjustRightInd w:val="0"/>
        <w:spacing w:before="120" w:after="120" w:line="360" w:lineRule="auto"/>
        <w:ind w:right="-11"/>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lastRenderedPageBreak/>
        <w:t>Επιχειρησιακός έλεγχος φαρμακευτικής δαπάνης</w:t>
      </w:r>
    </w:p>
    <w:p w14:paraId="49A4BF2C" w14:textId="77777777" w:rsidR="00E75CA4" w:rsidRPr="00827975" w:rsidRDefault="00E75CA4"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Ο ΕΟΠΥΥ υιοθετεί σύστημα επιχειρησιακού ελέγχου συνταγών και είναι σε θέση να παρακολουθεί την εξέλιξη της φαρμακευτικής δαπάνης.  Ειδικότερα, </w:t>
      </w:r>
    </w:p>
    <w:p w14:paraId="5046C7DC" w14:textId="50598124" w:rsidR="00E75CA4" w:rsidRPr="00827975" w:rsidRDefault="00E75CA4" w:rsidP="00827975">
      <w:pPr>
        <w:pStyle w:val="a4"/>
        <w:tabs>
          <w:tab w:val="left" w:pos="993"/>
        </w:tabs>
        <w:spacing w:before="120" w:after="120" w:line="360" w:lineRule="auto"/>
        <w:ind w:left="993" w:hanging="273"/>
        <w:jc w:val="both"/>
        <w:rPr>
          <w:rFonts w:asciiTheme="majorHAnsi" w:hAnsiTheme="majorHAnsi"/>
          <w:sz w:val="22"/>
          <w:lang w:val="el-GR"/>
        </w:rPr>
      </w:pPr>
      <w:r w:rsidRPr="00827975">
        <w:rPr>
          <w:rFonts w:asciiTheme="majorHAnsi" w:hAnsiTheme="majorHAnsi"/>
          <w:sz w:val="22"/>
          <w:lang w:val="el-GR"/>
        </w:rPr>
        <w:t>•</w:t>
      </w:r>
      <w:r w:rsidRPr="00827975">
        <w:rPr>
          <w:rFonts w:asciiTheme="majorHAnsi" w:hAnsiTheme="majorHAnsi"/>
          <w:sz w:val="22"/>
          <w:lang w:val="el-GR"/>
        </w:rPr>
        <w:tab/>
        <w:t>Εφαρμ</w:t>
      </w:r>
      <w:r w:rsidR="00387877">
        <w:rPr>
          <w:rFonts w:asciiTheme="majorHAnsi" w:hAnsiTheme="majorHAnsi"/>
          <w:sz w:val="22"/>
          <w:lang w:val="el-GR"/>
        </w:rPr>
        <w:t>ογή</w:t>
      </w:r>
      <w:r w:rsidRPr="00827975">
        <w:rPr>
          <w:rFonts w:asciiTheme="majorHAnsi" w:hAnsiTheme="majorHAnsi"/>
          <w:sz w:val="22"/>
          <w:lang w:val="el-GR"/>
        </w:rPr>
        <w:t xml:space="preserve"> πλαφόν ανά γιατρό &amp; ειδικότητα για τη συνταγογράφηση φαρμάκων, δίχως να απαγορεύεται η συνταγογράφηση στο </w:t>
      </w:r>
      <w:r w:rsidR="00387877">
        <w:rPr>
          <w:rFonts w:asciiTheme="majorHAnsi" w:hAnsiTheme="majorHAnsi"/>
          <w:sz w:val="22"/>
          <w:lang w:val="el-GR"/>
        </w:rPr>
        <w:t>γιατρό σε περίπτωση υπέρβασης. Παράλληλα, καθιερώνονται εξαιρέσεις</w:t>
      </w:r>
      <w:r w:rsidRPr="00827975">
        <w:rPr>
          <w:rFonts w:asciiTheme="majorHAnsi" w:hAnsiTheme="majorHAnsi"/>
          <w:sz w:val="22"/>
          <w:lang w:val="el-GR"/>
        </w:rPr>
        <w:t>.</w:t>
      </w:r>
    </w:p>
    <w:p w14:paraId="466E2AB3" w14:textId="742121B2" w:rsidR="00E75CA4" w:rsidRPr="00827975" w:rsidRDefault="00E75CA4" w:rsidP="00827975">
      <w:pPr>
        <w:pStyle w:val="a4"/>
        <w:numPr>
          <w:ilvl w:val="0"/>
          <w:numId w:val="24"/>
        </w:numPr>
        <w:tabs>
          <w:tab w:val="left" w:pos="993"/>
        </w:tabs>
        <w:spacing w:before="120" w:after="120" w:line="360" w:lineRule="auto"/>
        <w:ind w:left="993" w:hanging="273"/>
        <w:jc w:val="both"/>
        <w:rPr>
          <w:rFonts w:asciiTheme="majorHAnsi" w:hAnsiTheme="majorHAnsi"/>
          <w:sz w:val="22"/>
          <w:lang w:val="el-GR"/>
        </w:rPr>
      </w:pPr>
      <w:r w:rsidRPr="00827975">
        <w:rPr>
          <w:rFonts w:asciiTheme="majorHAnsi" w:hAnsiTheme="majorHAnsi"/>
          <w:sz w:val="22"/>
          <w:lang w:val="el-GR"/>
        </w:rPr>
        <w:t>Εφαρμ</w:t>
      </w:r>
      <w:r w:rsidR="00387877">
        <w:rPr>
          <w:rFonts w:asciiTheme="majorHAnsi" w:hAnsiTheme="majorHAnsi"/>
          <w:sz w:val="22"/>
          <w:lang w:val="el-GR"/>
        </w:rPr>
        <w:t>ογή</w:t>
      </w:r>
      <w:r w:rsidRPr="00827975">
        <w:rPr>
          <w:rFonts w:asciiTheme="majorHAnsi" w:hAnsiTheme="majorHAnsi"/>
          <w:sz w:val="22"/>
          <w:lang w:val="el-GR"/>
        </w:rPr>
        <w:t xml:space="preserve"> στόχο</w:t>
      </w:r>
      <w:r w:rsidR="00387877">
        <w:rPr>
          <w:rFonts w:asciiTheme="majorHAnsi" w:hAnsiTheme="majorHAnsi"/>
          <w:sz w:val="22"/>
          <w:lang w:val="el-GR"/>
        </w:rPr>
        <w:t>υ</w:t>
      </w:r>
      <w:r w:rsidRPr="00827975">
        <w:rPr>
          <w:rFonts w:asciiTheme="majorHAnsi" w:hAnsiTheme="majorHAnsi"/>
          <w:sz w:val="22"/>
          <w:lang w:val="el-GR"/>
        </w:rPr>
        <w:t xml:space="preserve"> για την αύξηση της διείσδυσης των γενοσήμων που θα οδηγήσουν σε μείωση των τιμών αποζημίωσης.</w:t>
      </w:r>
    </w:p>
    <w:p w14:paraId="0B68DE76" w14:textId="77777777" w:rsidR="00E75CA4" w:rsidRPr="00827975" w:rsidRDefault="00E75CA4" w:rsidP="00827975">
      <w:pPr>
        <w:pStyle w:val="a4"/>
        <w:tabs>
          <w:tab w:val="left" w:pos="993"/>
        </w:tabs>
        <w:spacing w:before="120" w:after="120" w:line="360" w:lineRule="auto"/>
        <w:ind w:left="993" w:hanging="273"/>
        <w:jc w:val="both"/>
        <w:rPr>
          <w:rFonts w:asciiTheme="majorHAnsi" w:hAnsiTheme="majorHAnsi"/>
          <w:sz w:val="22"/>
          <w:lang w:val="el-GR"/>
        </w:rPr>
      </w:pPr>
      <w:r w:rsidRPr="00827975">
        <w:rPr>
          <w:rFonts w:asciiTheme="majorHAnsi" w:hAnsiTheme="majorHAnsi"/>
          <w:sz w:val="22"/>
          <w:lang w:val="el-GR"/>
        </w:rPr>
        <w:t>•</w:t>
      </w:r>
      <w:r w:rsidRPr="00827975">
        <w:rPr>
          <w:rFonts w:asciiTheme="majorHAnsi" w:hAnsiTheme="majorHAnsi"/>
          <w:sz w:val="22"/>
          <w:lang w:val="el-GR"/>
        </w:rPr>
        <w:tab/>
        <w:t>Ανάπτυξη φίλτρων με βάση την άδεια κυκλοφορίας (SPC) για τη συνταγογράφηση φαρμάκων με κριτήρια ηλικίας και ενδείξεων ICD-10 για 47 θεραπευτικές κατηγορίες (πχ αναπνευστικό, άνοια, οφθαλμολογικά κλπ).</w:t>
      </w:r>
    </w:p>
    <w:p w14:paraId="512B08A4" w14:textId="77777777" w:rsidR="00E75CA4" w:rsidRPr="00827975" w:rsidRDefault="00E75CA4" w:rsidP="00827975">
      <w:pPr>
        <w:pStyle w:val="a4"/>
        <w:numPr>
          <w:ilvl w:val="0"/>
          <w:numId w:val="24"/>
        </w:numPr>
        <w:tabs>
          <w:tab w:val="left" w:pos="993"/>
        </w:tabs>
        <w:spacing w:before="120" w:after="120" w:line="360" w:lineRule="auto"/>
        <w:ind w:left="993" w:hanging="273"/>
        <w:jc w:val="both"/>
        <w:rPr>
          <w:rFonts w:asciiTheme="majorHAnsi" w:hAnsiTheme="majorHAnsi"/>
          <w:sz w:val="22"/>
          <w:lang w:val="el-GR"/>
        </w:rPr>
      </w:pPr>
      <w:r w:rsidRPr="00827975">
        <w:rPr>
          <w:rFonts w:asciiTheme="majorHAnsi" w:hAnsiTheme="majorHAnsi"/>
          <w:sz w:val="22"/>
          <w:lang w:val="el-GR"/>
        </w:rPr>
        <w:t>Ανάπτυξη φίλτρων με βάση την άδεια κυκλοφορίας μέγιστης μηνιαίας ποσότητας συνταγογραφούμενων φαρμάκων ανά συνταγή σύμφωνα με την προτεινόμενη δοσολογία από τον ιατρό.</w:t>
      </w:r>
    </w:p>
    <w:p w14:paraId="7AF7691F" w14:textId="77777777" w:rsidR="00E75CA4" w:rsidRPr="00827975" w:rsidRDefault="00E75CA4" w:rsidP="00827975">
      <w:pPr>
        <w:pStyle w:val="a4"/>
        <w:tabs>
          <w:tab w:val="left" w:pos="993"/>
        </w:tabs>
        <w:spacing w:before="120" w:after="120" w:line="360" w:lineRule="auto"/>
        <w:ind w:left="993" w:hanging="273"/>
        <w:jc w:val="both"/>
        <w:rPr>
          <w:rFonts w:asciiTheme="majorHAnsi" w:hAnsiTheme="majorHAnsi"/>
          <w:sz w:val="22"/>
          <w:lang w:val="el-GR"/>
        </w:rPr>
      </w:pPr>
      <w:r w:rsidRPr="00827975">
        <w:rPr>
          <w:rFonts w:asciiTheme="majorHAnsi" w:hAnsiTheme="majorHAnsi"/>
          <w:sz w:val="22"/>
          <w:lang w:val="el-GR"/>
        </w:rPr>
        <w:t>•</w:t>
      </w:r>
      <w:r w:rsidRPr="00827975">
        <w:rPr>
          <w:rFonts w:asciiTheme="majorHAnsi" w:hAnsiTheme="majorHAnsi"/>
          <w:sz w:val="22"/>
          <w:lang w:val="el-GR"/>
        </w:rPr>
        <w:tab/>
        <w:t xml:space="preserve">Ανάπτυξη pop-ups μηνυμάτων τα οποία ανοίγουν κατά τη διαδικασία ηλεκτρονικής συνταγογράφησης 31 σκευασμάτων. Τα αναδυόμενα αυτά παράθυρα αφορούν μηνύματα σχετικά με την υποβοήθηση του έργου των ιατρών όπως, (ενημέρωση για πρώτη ή δεύτερη γραμμή θεραπείας, αντιστοίχηση σκευάσματος με ειδικότητα, προαπαιτούμενη εργαστηριακή εξέταση για τη συνταγογράφηση κλπ). </w:t>
      </w:r>
    </w:p>
    <w:p w14:paraId="0088B989" w14:textId="77777777" w:rsidR="00E75CA4" w:rsidRPr="00827975" w:rsidRDefault="00E75CA4" w:rsidP="00827975">
      <w:pPr>
        <w:pStyle w:val="a4"/>
        <w:tabs>
          <w:tab w:val="left" w:pos="993"/>
        </w:tabs>
        <w:spacing w:before="120" w:after="120" w:line="360" w:lineRule="auto"/>
        <w:ind w:left="993" w:hanging="273"/>
        <w:jc w:val="both"/>
        <w:rPr>
          <w:rFonts w:asciiTheme="majorHAnsi" w:hAnsiTheme="majorHAnsi"/>
          <w:sz w:val="22"/>
          <w:lang w:val="el-GR"/>
        </w:rPr>
      </w:pPr>
      <w:r w:rsidRPr="00827975">
        <w:rPr>
          <w:rFonts w:asciiTheme="majorHAnsi" w:hAnsiTheme="majorHAnsi"/>
          <w:sz w:val="22"/>
          <w:lang w:val="el-GR"/>
        </w:rPr>
        <w:t>•</w:t>
      </w:r>
      <w:r w:rsidRPr="00827975">
        <w:rPr>
          <w:rFonts w:asciiTheme="majorHAnsi" w:hAnsiTheme="majorHAnsi"/>
          <w:sz w:val="22"/>
          <w:lang w:val="el-GR"/>
        </w:rPr>
        <w:tab/>
        <w:t>Αποστολή 5.000 ενημερωτικών σημειωμάτων σε ιατρούς, σε μηνιαία βάση, με τα οποία ενημερώνονται για τη συνταγογραφική τους συμπεριφορά.</w:t>
      </w:r>
    </w:p>
    <w:p w14:paraId="27891361" w14:textId="77777777" w:rsidR="001D3E2E" w:rsidRPr="00827975" w:rsidRDefault="001D3E2E" w:rsidP="00827975">
      <w:pPr>
        <w:autoSpaceDE w:val="0"/>
        <w:autoSpaceDN w:val="0"/>
        <w:adjustRightInd w:val="0"/>
        <w:spacing w:before="120" w:after="120" w:line="360" w:lineRule="auto"/>
        <w:ind w:right="-11"/>
        <w:jc w:val="both"/>
        <w:rPr>
          <w:rFonts w:asciiTheme="majorHAnsi" w:hAnsiTheme="majorHAnsi"/>
          <w:sz w:val="22"/>
          <w:lang w:val="el-GR"/>
        </w:rPr>
      </w:pPr>
    </w:p>
    <w:p w14:paraId="4A175237" w14:textId="77777777" w:rsidR="007D4A4F" w:rsidRPr="00827975" w:rsidRDefault="007D4A4F" w:rsidP="00827975">
      <w:pPr>
        <w:spacing w:before="120" w:after="120" w:line="360" w:lineRule="auto"/>
        <w:rPr>
          <w:rFonts w:asciiTheme="majorHAnsi" w:hAnsiTheme="majorHAnsi" w:cs="Tahoma"/>
          <w:b/>
          <w:color w:val="E36C0A" w:themeColor="accent6" w:themeShade="BF"/>
          <w:sz w:val="22"/>
          <w:lang w:val="el-GR"/>
        </w:rPr>
      </w:pPr>
      <w:r w:rsidRPr="00827975">
        <w:rPr>
          <w:rFonts w:asciiTheme="majorHAnsi" w:hAnsiTheme="majorHAnsi" w:cs="Tahoma"/>
          <w:b/>
          <w:color w:val="E36C0A" w:themeColor="accent6" w:themeShade="BF"/>
          <w:sz w:val="22"/>
          <w:lang w:val="el-GR"/>
        </w:rPr>
        <w:br w:type="page"/>
      </w:r>
    </w:p>
    <w:p w14:paraId="18DA585F" w14:textId="5EED20FC" w:rsidR="00593C8E" w:rsidRPr="00827975" w:rsidRDefault="00593C8E" w:rsidP="00827975">
      <w:pPr>
        <w:shd w:val="clear" w:color="auto" w:fill="DBE5F1" w:themeFill="accent1" w:themeFillTint="33"/>
        <w:spacing w:before="120" w:after="120" w:line="360" w:lineRule="auto"/>
        <w:jc w:val="both"/>
        <w:rPr>
          <w:rFonts w:asciiTheme="majorHAnsi" w:hAnsiTheme="majorHAnsi" w:cs="Tahoma"/>
          <w:b/>
          <w:color w:val="E36C0A" w:themeColor="accent6" w:themeShade="BF"/>
          <w:sz w:val="22"/>
          <w:lang w:val="el-GR"/>
        </w:rPr>
      </w:pPr>
      <w:r w:rsidRPr="00827975">
        <w:rPr>
          <w:rFonts w:asciiTheme="majorHAnsi" w:hAnsiTheme="majorHAnsi" w:cs="Tahoma"/>
          <w:b/>
          <w:color w:val="E36C0A" w:themeColor="accent6" w:themeShade="BF"/>
          <w:sz w:val="22"/>
          <w:lang w:val="el-GR"/>
        </w:rPr>
        <w:lastRenderedPageBreak/>
        <w:t>Εκσυγχρονισμός παροχών περίθαλψης</w:t>
      </w:r>
    </w:p>
    <w:p w14:paraId="01FFFC06" w14:textId="77777777" w:rsidR="00527B83" w:rsidRPr="00827975" w:rsidRDefault="00527B83" w:rsidP="00827975">
      <w:pPr>
        <w:spacing w:before="120" w:after="120" w:line="360" w:lineRule="auto"/>
        <w:jc w:val="both"/>
        <w:rPr>
          <w:rFonts w:asciiTheme="majorHAnsi" w:hAnsiTheme="majorHAnsi" w:cs="Tahoma"/>
          <w:color w:val="365F91" w:themeColor="accent1" w:themeShade="BF"/>
          <w:sz w:val="22"/>
          <w:u w:val="single"/>
          <w:lang w:val="el-GR"/>
        </w:rPr>
      </w:pPr>
    </w:p>
    <w:p w14:paraId="175BA989" w14:textId="77777777" w:rsidR="00527B83" w:rsidRPr="00827975" w:rsidRDefault="00527B83" w:rsidP="00827975">
      <w:pPr>
        <w:spacing w:before="120" w:after="120" w:line="360" w:lineRule="auto"/>
        <w:jc w:val="both"/>
        <w:rPr>
          <w:rFonts w:asciiTheme="majorHAnsi" w:hAnsiTheme="majorHAnsi" w:cs="Tahoma"/>
          <w:sz w:val="22"/>
          <w:lang w:val="el-GR"/>
        </w:rPr>
      </w:pPr>
      <w:r w:rsidRPr="00F046B0">
        <w:rPr>
          <w:rFonts w:asciiTheme="majorHAnsi" w:hAnsiTheme="majorHAnsi" w:cs="Tahoma"/>
          <w:color w:val="365F91" w:themeColor="accent1" w:themeShade="BF"/>
          <w:sz w:val="22"/>
          <w:u w:val="single"/>
          <w:lang w:val="el-GR"/>
        </w:rPr>
        <w:t>Σχέδιο νέου Ενιαίου Κανονισμού Παροχών Υγείας</w:t>
      </w:r>
      <w:r w:rsidRPr="00827975">
        <w:rPr>
          <w:rFonts w:asciiTheme="majorHAnsi" w:hAnsiTheme="majorHAnsi" w:cs="Tahoma"/>
          <w:color w:val="365F91" w:themeColor="accent1" w:themeShade="BF"/>
          <w:sz w:val="22"/>
          <w:u w:val="single"/>
          <w:lang w:val="el-GR"/>
        </w:rPr>
        <w:t xml:space="preserve"> </w:t>
      </w:r>
    </w:p>
    <w:p w14:paraId="1E3059D1" w14:textId="1BC21AF4" w:rsidR="00527B83" w:rsidRPr="00827975" w:rsidRDefault="00FD0C30" w:rsidP="00827975">
      <w:pPr>
        <w:spacing w:before="120" w:after="120" w:line="360" w:lineRule="auto"/>
        <w:jc w:val="both"/>
        <w:rPr>
          <w:rFonts w:asciiTheme="majorHAnsi" w:eastAsiaTheme="minorHAnsi" w:hAnsiTheme="majorHAnsi"/>
          <w:color w:val="000000" w:themeColor="text1"/>
          <w:kern w:val="24"/>
          <w:sz w:val="22"/>
          <w:lang w:val="el-GR"/>
        </w:rPr>
      </w:pPr>
      <w:r>
        <w:rPr>
          <w:rFonts w:asciiTheme="majorHAnsi" w:eastAsiaTheme="minorHAnsi" w:hAnsiTheme="majorHAnsi"/>
          <w:color w:val="000000" w:themeColor="text1"/>
          <w:kern w:val="24"/>
          <w:sz w:val="22"/>
          <w:lang w:val="el-GR"/>
        </w:rPr>
        <w:t xml:space="preserve">Ολοκληρώθηκε η σύνταξη του σχεδίου του νέου </w:t>
      </w:r>
      <w:r w:rsidR="00210B99" w:rsidRPr="00827975">
        <w:rPr>
          <w:rFonts w:asciiTheme="majorHAnsi" w:eastAsiaTheme="minorHAnsi" w:hAnsiTheme="majorHAnsi"/>
          <w:color w:val="000000" w:themeColor="text1"/>
          <w:kern w:val="24"/>
          <w:sz w:val="22"/>
          <w:lang w:val="el-GR"/>
        </w:rPr>
        <w:t>Ενιαίου Κανονισμού Παροχών</w:t>
      </w:r>
      <w:r w:rsidR="00F046B0">
        <w:rPr>
          <w:rFonts w:asciiTheme="majorHAnsi" w:eastAsiaTheme="minorHAnsi" w:hAnsiTheme="majorHAnsi"/>
          <w:color w:val="000000" w:themeColor="text1"/>
          <w:kern w:val="24"/>
          <w:sz w:val="22"/>
          <w:lang w:val="el-GR"/>
        </w:rPr>
        <w:t xml:space="preserve"> </w:t>
      </w:r>
      <w:r w:rsidR="00387877">
        <w:rPr>
          <w:rFonts w:asciiTheme="majorHAnsi" w:eastAsiaTheme="minorHAnsi" w:hAnsiTheme="majorHAnsi"/>
          <w:color w:val="000000" w:themeColor="text1"/>
          <w:kern w:val="24"/>
          <w:sz w:val="22"/>
          <w:lang w:val="el-GR"/>
        </w:rPr>
        <w:t xml:space="preserve">Υγείας </w:t>
      </w:r>
      <w:r w:rsidR="00F046B0" w:rsidRPr="00827975">
        <w:rPr>
          <w:rFonts w:asciiTheme="majorHAnsi" w:eastAsiaTheme="minorHAnsi" w:hAnsiTheme="majorHAnsi"/>
          <w:color w:val="000000" w:themeColor="text1"/>
          <w:kern w:val="24"/>
          <w:sz w:val="22"/>
          <w:lang w:val="el-GR"/>
        </w:rPr>
        <w:t>(ΕΚΠΥ)</w:t>
      </w:r>
      <w:r w:rsidR="00F046B0">
        <w:rPr>
          <w:rFonts w:asciiTheme="majorHAnsi" w:eastAsiaTheme="minorHAnsi" w:hAnsiTheme="majorHAnsi"/>
          <w:color w:val="000000" w:themeColor="text1"/>
          <w:kern w:val="24"/>
          <w:sz w:val="22"/>
          <w:lang w:val="el-GR"/>
        </w:rPr>
        <w:t>.</w:t>
      </w:r>
      <w:r>
        <w:rPr>
          <w:rFonts w:asciiTheme="majorHAnsi" w:eastAsiaTheme="minorHAnsi" w:hAnsiTheme="majorHAnsi"/>
          <w:color w:val="000000" w:themeColor="text1"/>
          <w:kern w:val="24"/>
          <w:sz w:val="22"/>
          <w:lang w:val="el-GR"/>
        </w:rPr>
        <w:t xml:space="preserve"> </w:t>
      </w:r>
      <w:r w:rsidR="00527B83" w:rsidRPr="00827975">
        <w:rPr>
          <w:rFonts w:asciiTheme="majorHAnsi" w:eastAsiaTheme="minorHAnsi" w:hAnsiTheme="majorHAnsi"/>
          <w:color w:val="000000" w:themeColor="text1"/>
          <w:kern w:val="24"/>
          <w:sz w:val="22"/>
          <w:lang w:val="el-GR"/>
        </w:rPr>
        <w:t>Αρμόδια Επιτροπή με τη θεσμική εκπροσώπηση και συμμετοχή του Υπουργείου Υγείας και του ΕΟΠΥΥ, ανέλαβε τον εκσυγχρονισμό και την αναδιαμόρφ</w:t>
      </w:r>
      <w:r w:rsidR="00F046B0">
        <w:rPr>
          <w:rFonts w:asciiTheme="majorHAnsi" w:eastAsiaTheme="minorHAnsi" w:hAnsiTheme="majorHAnsi"/>
          <w:color w:val="000000" w:themeColor="text1"/>
          <w:kern w:val="24"/>
          <w:sz w:val="22"/>
          <w:lang w:val="el-GR"/>
        </w:rPr>
        <w:t>ωση του σχεδίου του ν</w:t>
      </w:r>
      <w:r w:rsidR="00527B83" w:rsidRPr="00827975">
        <w:rPr>
          <w:rFonts w:asciiTheme="majorHAnsi" w:eastAsiaTheme="minorHAnsi" w:hAnsiTheme="majorHAnsi"/>
          <w:color w:val="000000" w:themeColor="text1"/>
          <w:kern w:val="24"/>
          <w:sz w:val="22"/>
          <w:lang w:val="el-GR"/>
        </w:rPr>
        <w:t>έου</w:t>
      </w:r>
      <w:r w:rsidR="00F046B0">
        <w:rPr>
          <w:rFonts w:asciiTheme="majorHAnsi" w:eastAsiaTheme="minorHAnsi" w:hAnsiTheme="majorHAnsi"/>
          <w:color w:val="000000" w:themeColor="text1"/>
          <w:kern w:val="24"/>
          <w:sz w:val="22"/>
          <w:lang w:val="el-GR"/>
        </w:rPr>
        <w:t xml:space="preserve"> ΕΚΠΥ</w:t>
      </w:r>
      <w:r w:rsidR="00527B83" w:rsidRPr="00827975">
        <w:rPr>
          <w:rFonts w:asciiTheme="majorHAnsi" w:eastAsiaTheme="minorHAnsi" w:hAnsiTheme="majorHAnsi"/>
          <w:color w:val="000000" w:themeColor="text1"/>
          <w:kern w:val="24"/>
          <w:sz w:val="22"/>
          <w:lang w:val="el-GR"/>
        </w:rPr>
        <w:t>. Μετά το πέρας του έργου της Επιτροπής, για πρώτη φορά, το σχέδιο του νέου ΕΚΠΥ δόθηκε προς διαβούλευση για σχόλια και παρατηρήσεις στους συλλόγους και τις ενώσεις των παρόχων-προμηθευτών, ενώ απεστάλη και σε συνολικά 101 συλλόγους και ενώσεις ασθενών. Το σύνολο των σχολίων συγκεντρώθηκε και μέρος αυτών ενσωματώθηκε στο τελικό κείμενο το οποίο βρίσκεται στο Υπουργείο Υγείας, προκειμένου αυτό να προβεί στη δημοσίευση της οικείας Υπουργικής Απόφασης.</w:t>
      </w:r>
    </w:p>
    <w:p w14:paraId="5749B237" w14:textId="77777777" w:rsidR="00DA09A0" w:rsidRPr="00827975" w:rsidRDefault="00DA09A0" w:rsidP="00827975">
      <w:pPr>
        <w:spacing w:before="120" w:after="120" w:line="360" w:lineRule="auto"/>
        <w:jc w:val="both"/>
        <w:rPr>
          <w:rFonts w:asciiTheme="majorHAnsi" w:eastAsiaTheme="minorHAnsi" w:hAnsiTheme="majorHAnsi"/>
          <w:color w:val="000000" w:themeColor="text1"/>
          <w:kern w:val="24"/>
          <w:sz w:val="22"/>
          <w:lang w:val="el-GR"/>
        </w:rPr>
      </w:pPr>
    </w:p>
    <w:p w14:paraId="03AD7A22" w14:textId="4146C258" w:rsidR="00E6223A" w:rsidRPr="00827975" w:rsidRDefault="00E6223A" w:rsidP="00827975">
      <w:pPr>
        <w:spacing w:before="120" w:after="120" w:line="360" w:lineRule="auto"/>
        <w:jc w:val="both"/>
        <w:rPr>
          <w:rFonts w:asciiTheme="majorHAnsi" w:hAnsiTheme="majorHAnsi" w:cs="Tahoma"/>
          <w:color w:val="365F91" w:themeColor="accent1" w:themeShade="BF"/>
          <w:sz w:val="22"/>
          <w:u w:val="single"/>
          <w:lang w:val="el-GR"/>
        </w:rPr>
      </w:pPr>
      <w:r w:rsidRPr="00BF2C16">
        <w:rPr>
          <w:rFonts w:asciiTheme="majorHAnsi" w:hAnsiTheme="majorHAnsi" w:cs="Tahoma"/>
          <w:color w:val="365F91" w:themeColor="accent1" w:themeShade="BF"/>
          <w:sz w:val="22"/>
          <w:u w:val="single"/>
          <w:lang w:val="el-GR"/>
        </w:rPr>
        <w:t>Νέες συμβάσεις ΕΟΠΥΥ</w:t>
      </w:r>
      <w:r w:rsidRPr="00827975">
        <w:rPr>
          <w:rFonts w:asciiTheme="majorHAnsi" w:hAnsiTheme="majorHAnsi" w:cs="Tahoma"/>
          <w:color w:val="365F91" w:themeColor="accent1" w:themeShade="BF"/>
          <w:sz w:val="22"/>
          <w:u w:val="single"/>
          <w:lang w:val="el-GR"/>
        </w:rPr>
        <w:t xml:space="preserve"> </w:t>
      </w:r>
    </w:p>
    <w:p w14:paraId="2F540696" w14:textId="639CB20E" w:rsidR="00FC789E" w:rsidRPr="00BF2C16" w:rsidRDefault="00E6223A" w:rsidP="00BF2C16">
      <w:pPr>
        <w:pStyle w:val="80"/>
        <w:shd w:val="clear" w:color="auto" w:fill="auto"/>
        <w:spacing w:after="210" w:line="360" w:lineRule="auto"/>
        <w:ind w:hanging="11"/>
        <w:jc w:val="both"/>
        <w:rPr>
          <w:rFonts w:asciiTheme="majorHAnsi" w:hAnsiTheme="majorHAnsi"/>
          <w:b w:val="0"/>
          <w:sz w:val="22"/>
          <w:szCs w:val="22"/>
          <w:lang w:val="el-GR"/>
        </w:rPr>
      </w:pPr>
      <w:r w:rsidRPr="00BF2C16">
        <w:rPr>
          <w:rFonts w:asciiTheme="majorHAnsi" w:hAnsiTheme="majorHAnsi" w:cs="Arial"/>
          <w:b w:val="0"/>
          <w:sz w:val="22"/>
          <w:szCs w:val="22"/>
          <w:lang w:val="el-GR"/>
        </w:rPr>
        <w:t xml:space="preserve">Ο ΕΟΠΥΥ </w:t>
      </w:r>
      <w:r w:rsidR="002A446B" w:rsidRPr="00BF2C16">
        <w:rPr>
          <w:rFonts w:asciiTheme="majorHAnsi" w:hAnsiTheme="majorHAnsi" w:cs="Arial"/>
          <w:b w:val="0"/>
          <w:sz w:val="22"/>
          <w:szCs w:val="22"/>
          <w:lang w:val="el-GR"/>
        </w:rPr>
        <w:t>έθεσε</w:t>
      </w:r>
      <w:r w:rsidRPr="00BF2C16">
        <w:rPr>
          <w:rFonts w:asciiTheme="majorHAnsi" w:hAnsiTheme="majorHAnsi" w:cs="Arial"/>
          <w:b w:val="0"/>
          <w:sz w:val="22"/>
          <w:szCs w:val="22"/>
          <w:lang w:val="el-GR"/>
        </w:rPr>
        <w:t xml:space="preserve"> τις βάσεις για τη σύναψη νέων συμβάσεων με όλους τους συμβεβλημένους</w:t>
      </w:r>
      <w:r w:rsidR="002A446B" w:rsidRPr="00BF2C16">
        <w:rPr>
          <w:rFonts w:asciiTheme="majorHAnsi" w:hAnsiTheme="majorHAnsi" w:cs="Arial"/>
          <w:b w:val="0"/>
          <w:sz w:val="22"/>
          <w:szCs w:val="22"/>
          <w:lang w:val="el-GR"/>
        </w:rPr>
        <w:t xml:space="preserve"> παρόχους και για πρώτη φορά, τα κείμενα των συμβάσεων</w:t>
      </w:r>
      <w:r w:rsidRPr="00BF2C16">
        <w:rPr>
          <w:rFonts w:asciiTheme="majorHAnsi" w:hAnsiTheme="majorHAnsi" w:cs="Arial"/>
          <w:b w:val="0"/>
          <w:sz w:val="22"/>
          <w:szCs w:val="22"/>
          <w:lang w:val="el-GR"/>
        </w:rPr>
        <w:t xml:space="preserve"> αποτελ</w:t>
      </w:r>
      <w:r w:rsidR="002A446B" w:rsidRPr="00BF2C16">
        <w:rPr>
          <w:rFonts w:asciiTheme="majorHAnsi" w:hAnsiTheme="majorHAnsi" w:cs="Arial"/>
          <w:b w:val="0"/>
          <w:sz w:val="22"/>
          <w:szCs w:val="22"/>
          <w:lang w:val="el-GR"/>
        </w:rPr>
        <w:t>ούν</w:t>
      </w:r>
      <w:r w:rsidRPr="00BF2C16">
        <w:rPr>
          <w:rFonts w:asciiTheme="majorHAnsi" w:hAnsiTheme="majorHAnsi" w:cs="Arial"/>
          <w:b w:val="0"/>
          <w:sz w:val="22"/>
          <w:szCs w:val="22"/>
          <w:lang w:val="el-GR"/>
        </w:rPr>
        <w:t xml:space="preserve"> προϊόν εκτεταμένου διαλόγου, διαβούλευσης και διαπραγμάτευσης μεταξύ του Οργανισμού και των επίσημων εκπροσώπων ανά κατηγορία παρόχου. Στόχος </w:t>
      </w:r>
      <w:r w:rsidR="00F046B0">
        <w:rPr>
          <w:rFonts w:asciiTheme="majorHAnsi" w:hAnsiTheme="majorHAnsi" w:cs="Arial"/>
          <w:b w:val="0"/>
          <w:sz w:val="22"/>
          <w:szCs w:val="22"/>
          <w:lang w:val="el-GR"/>
        </w:rPr>
        <w:t>του Οργανισμού</w:t>
      </w:r>
      <w:r w:rsidRPr="00BF2C16">
        <w:rPr>
          <w:rFonts w:asciiTheme="majorHAnsi" w:hAnsiTheme="majorHAnsi" w:cs="Arial"/>
          <w:b w:val="0"/>
          <w:sz w:val="22"/>
          <w:szCs w:val="22"/>
          <w:lang w:val="el-GR"/>
        </w:rPr>
        <w:t xml:space="preserve"> είναι η χρήση νέων εργαλείων και η υιοθέτηση μηχανισμών οι οποίοι εγγυώνται την αποτελεσματική, αποδοτική και πο</w:t>
      </w:r>
      <w:r w:rsidR="003B555C" w:rsidRPr="00BF2C16">
        <w:rPr>
          <w:rFonts w:asciiTheme="majorHAnsi" w:hAnsiTheme="majorHAnsi" w:cs="Arial"/>
          <w:b w:val="0"/>
          <w:sz w:val="22"/>
          <w:szCs w:val="22"/>
          <w:lang w:val="el-GR"/>
        </w:rPr>
        <w:t xml:space="preserve">ιοτική παροχή υπηρεσιών υγείας. </w:t>
      </w:r>
      <w:r w:rsidRPr="00BF2C16">
        <w:rPr>
          <w:rFonts w:asciiTheme="majorHAnsi" w:hAnsiTheme="majorHAnsi" w:cs="Arial"/>
          <w:b w:val="0"/>
          <w:sz w:val="22"/>
          <w:szCs w:val="22"/>
          <w:lang w:val="el-GR"/>
        </w:rPr>
        <w:t xml:space="preserve">Ειδικότερα, </w:t>
      </w:r>
      <w:r w:rsidR="00527B83" w:rsidRPr="00BF2C16">
        <w:rPr>
          <w:rFonts w:asciiTheme="majorHAnsi" w:hAnsiTheme="majorHAnsi" w:cs="Arial"/>
          <w:b w:val="0"/>
          <w:sz w:val="22"/>
          <w:szCs w:val="22"/>
          <w:lang w:val="el-GR"/>
        </w:rPr>
        <w:t xml:space="preserve">ήδη από τις αρχές του έτους </w:t>
      </w:r>
      <w:r w:rsidR="003B555C" w:rsidRPr="00BF2C16">
        <w:rPr>
          <w:rFonts w:asciiTheme="majorHAnsi" w:hAnsiTheme="majorHAnsi" w:cs="Arial"/>
          <w:b w:val="0"/>
          <w:sz w:val="22"/>
          <w:szCs w:val="22"/>
          <w:lang w:val="el-GR"/>
        </w:rPr>
        <w:t>λειτουργούν οι νέες συμβάσεις</w:t>
      </w:r>
      <w:r w:rsidR="00527B83" w:rsidRPr="00BF2C16">
        <w:rPr>
          <w:rFonts w:asciiTheme="majorHAnsi" w:hAnsiTheme="majorHAnsi" w:cs="Arial"/>
          <w:b w:val="0"/>
          <w:sz w:val="22"/>
          <w:szCs w:val="22"/>
          <w:lang w:val="el-GR"/>
        </w:rPr>
        <w:t xml:space="preserve"> με</w:t>
      </w:r>
      <w:r w:rsidR="003B555C" w:rsidRPr="00BF2C16">
        <w:rPr>
          <w:rFonts w:asciiTheme="majorHAnsi" w:hAnsiTheme="majorHAnsi" w:cs="Arial"/>
          <w:b w:val="0"/>
          <w:sz w:val="22"/>
          <w:szCs w:val="22"/>
          <w:lang w:val="el-GR"/>
        </w:rPr>
        <w:t xml:space="preserve"> </w:t>
      </w:r>
      <w:r w:rsidR="003B555C" w:rsidRPr="00BF2C16">
        <w:rPr>
          <w:rFonts w:asciiTheme="majorHAnsi" w:hAnsiTheme="majorHAnsi"/>
          <w:b w:val="0"/>
          <w:sz w:val="22"/>
          <w:szCs w:val="22"/>
          <w:lang w:val="el-GR"/>
        </w:rPr>
        <w:t>τις Μονάδες Τεχνητού Νεφρού και Χρόνιας Αιμοκάθαρσης</w:t>
      </w:r>
      <w:r w:rsidR="00E36135" w:rsidRPr="00BF2C16">
        <w:rPr>
          <w:rFonts w:asciiTheme="majorHAnsi" w:hAnsiTheme="majorHAnsi"/>
          <w:b w:val="0"/>
          <w:sz w:val="22"/>
          <w:szCs w:val="22"/>
          <w:lang w:val="el-GR"/>
        </w:rPr>
        <w:t>, ενώ αναφορικά</w:t>
      </w:r>
      <w:r w:rsidRPr="00BF2C16">
        <w:rPr>
          <w:rFonts w:asciiTheme="majorHAnsi" w:hAnsiTheme="majorHAnsi"/>
          <w:b w:val="0"/>
          <w:sz w:val="22"/>
          <w:szCs w:val="22"/>
          <w:lang w:val="el-GR"/>
        </w:rPr>
        <w:t xml:space="preserve"> με τη σύμβαση των ιατρικών επισκέψεων, έχει ολοκληρωθεί μελέτη εκτίμησης για τις ανάγκες του πληθυσμού της Ελλάδας ανά γεωγραφική περιφέρεια, βάση της οποίας στο σχέδιο της νέας σύμβασης, ο Οργανισμός θα αγοράζει ιατρικές επισκέψεις χρησιμοποιώντας δείκτες του ΠΟΥ, ασφαλιστικού πληθυσμού, νοσηρότητας καθώς και συνυπολογίζοντας τις προσφερόμενες υπηρεσίες σε δημόσιο και ιδιωτικό τομέα. </w:t>
      </w:r>
      <w:r w:rsidR="00E36135" w:rsidRPr="00BF2C16">
        <w:rPr>
          <w:rFonts w:asciiTheme="majorHAnsi" w:hAnsiTheme="majorHAnsi"/>
          <w:b w:val="0"/>
          <w:sz w:val="22"/>
          <w:szCs w:val="22"/>
          <w:lang w:val="el-GR"/>
        </w:rPr>
        <w:t xml:space="preserve">Επιπρόσθετα, </w:t>
      </w:r>
      <w:r w:rsidR="00FC789E" w:rsidRPr="00BF2C16">
        <w:rPr>
          <w:rFonts w:asciiTheme="majorHAnsi" w:hAnsiTheme="majorHAnsi"/>
          <w:b w:val="0"/>
          <w:sz w:val="22"/>
          <w:szCs w:val="22"/>
          <w:lang w:val="el-GR"/>
        </w:rPr>
        <w:t xml:space="preserve">αναφορικά με τη σύμβαση </w:t>
      </w:r>
      <w:r w:rsidR="00FC789E" w:rsidRPr="00BF2C16">
        <w:rPr>
          <w:rFonts w:asciiTheme="majorHAnsi" w:hAnsiTheme="majorHAnsi"/>
          <w:b w:val="0"/>
          <w:color w:val="000000"/>
          <w:sz w:val="22"/>
          <w:szCs w:val="22"/>
          <w:lang w:val="el-GR" w:eastAsia="el-GR" w:bidi="el-GR"/>
        </w:rPr>
        <w:t>παροχή</w:t>
      </w:r>
      <w:r w:rsidR="00387877">
        <w:rPr>
          <w:rFonts w:asciiTheme="majorHAnsi" w:hAnsiTheme="majorHAnsi"/>
          <w:b w:val="0"/>
          <w:color w:val="000000"/>
          <w:sz w:val="22"/>
          <w:szCs w:val="22"/>
          <w:lang w:val="el-GR" w:eastAsia="el-GR" w:bidi="el-GR"/>
        </w:rPr>
        <w:t>ς νοσοκομειακής περίθαλψης από ιδιωτικές γενικές κ</w:t>
      </w:r>
      <w:r w:rsidR="00FC789E" w:rsidRPr="00BF2C16">
        <w:rPr>
          <w:rFonts w:asciiTheme="majorHAnsi" w:hAnsiTheme="majorHAnsi"/>
          <w:b w:val="0"/>
          <w:color w:val="000000"/>
          <w:sz w:val="22"/>
          <w:szCs w:val="22"/>
          <w:lang w:val="el-GR" w:eastAsia="el-GR" w:bidi="el-GR"/>
        </w:rPr>
        <w:t>λινικές έχει επέλθει συμφωνία με το ΣΕΚ η οποία έχει υπογραφεί από την πολιτική ηγεσία του Υπουργείου, τη Διοίκηση του ΕΟΠΥΥ και τη Διοίκηση του ΣΕΚ</w:t>
      </w:r>
      <w:r w:rsidR="00EA4B0C" w:rsidRPr="00BF2C16">
        <w:rPr>
          <w:rFonts w:asciiTheme="majorHAnsi" w:hAnsiTheme="majorHAnsi"/>
          <w:b w:val="0"/>
          <w:color w:val="000000"/>
          <w:sz w:val="22"/>
          <w:szCs w:val="22"/>
          <w:lang w:val="el-GR" w:eastAsia="el-GR" w:bidi="el-GR"/>
        </w:rPr>
        <w:t xml:space="preserve">. Στο στάδιο της επεξεργασίας των σχεδίων των συμβάσεων κατόπιν διαβούλευσης με τους φορείς βρίσκονται οι συμβάσεις των ιδιωτικών ψυχιατρικών κλινικών, των κέντρων αποθεραπείας και αποκατάστασης για υπηρεσίες κλειστής και ανοικτής </w:t>
      </w:r>
      <w:r w:rsidR="00BF2C16" w:rsidRPr="00BF2C16">
        <w:rPr>
          <w:rFonts w:asciiTheme="majorHAnsi" w:hAnsiTheme="majorHAnsi"/>
          <w:b w:val="0"/>
          <w:color w:val="000000"/>
          <w:sz w:val="22"/>
          <w:szCs w:val="22"/>
          <w:lang w:val="el-GR" w:eastAsia="el-GR" w:bidi="el-GR"/>
        </w:rPr>
        <w:t>περίθαλψης</w:t>
      </w:r>
      <w:r w:rsidR="00EA4B0C" w:rsidRPr="00BF2C16">
        <w:rPr>
          <w:rFonts w:asciiTheme="majorHAnsi" w:hAnsiTheme="majorHAnsi"/>
          <w:b w:val="0"/>
          <w:color w:val="000000"/>
          <w:sz w:val="22"/>
          <w:szCs w:val="22"/>
          <w:lang w:val="el-GR" w:eastAsia="el-GR" w:bidi="el-GR"/>
        </w:rPr>
        <w:t>, των φυσιοθεραπευτ</w:t>
      </w:r>
      <w:r w:rsidR="00BF2C16" w:rsidRPr="00BF2C16">
        <w:rPr>
          <w:rFonts w:asciiTheme="majorHAnsi" w:hAnsiTheme="majorHAnsi"/>
          <w:b w:val="0"/>
          <w:color w:val="000000"/>
          <w:sz w:val="22"/>
          <w:szCs w:val="22"/>
          <w:lang w:val="el-GR" w:eastAsia="el-GR" w:bidi="el-GR"/>
        </w:rPr>
        <w:t>ών και</w:t>
      </w:r>
      <w:r w:rsidR="00EA4B0C" w:rsidRPr="00BF2C16">
        <w:rPr>
          <w:rFonts w:asciiTheme="majorHAnsi" w:hAnsiTheme="majorHAnsi"/>
          <w:b w:val="0"/>
          <w:color w:val="000000"/>
          <w:sz w:val="22"/>
          <w:szCs w:val="22"/>
          <w:lang w:val="el-GR" w:eastAsia="el-GR" w:bidi="el-GR"/>
        </w:rPr>
        <w:t xml:space="preserve"> </w:t>
      </w:r>
      <w:r w:rsidR="00BF2C16" w:rsidRPr="00BF2C16">
        <w:rPr>
          <w:rFonts w:asciiTheme="majorHAnsi" w:hAnsiTheme="majorHAnsi"/>
          <w:b w:val="0"/>
          <w:color w:val="000000"/>
          <w:sz w:val="22"/>
          <w:szCs w:val="22"/>
          <w:lang w:val="el-GR" w:eastAsia="el-GR" w:bidi="el-GR"/>
        </w:rPr>
        <w:t xml:space="preserve">των διαγνωστικών εργαστηρίων. Τέλος, επισημαίνεται ότι είναι έτοιμα </w:t>
      </w:r>
      <w:r w:rsidR="00387877">
        <w:rPr>
          <w:rFonts w:asciiTheme="majorHAnsi" w:hAnsiTheme="majorHAnsi"/>
          <w:b w:val="0"/>
          <w:color w:val="000000"/>
          <w:sz w:val="22"/>
          <w:szCs w:val="22"/>
          <w:lang w:val="el-GR" w:eastAsia="el-GR" w:bidi="el-GR"/>
        </w:rPr>
        <w:t xml:space="preserve">τα </w:t>
      </w:r>
      <w:r w:rsidR="00BF2C16" w:rsidRPr="00BF2C16">
        <w:rPr>
          <w:rFonts w:asciiTheme="majorHAnsi" w:hAnsiTheme="majorHAnsi"/>
          <w:b w:val="0"/>
          <w:color w:val="000000"/>
          <w:sz w:val="22"/>
          <w:szCs w:val="22"/>
          <w:lang w:val="el-GR" w:eastAsia="el-GR" w:bidi="el-GR"/>
        </w:rPr>
        <w:t xml:space="preserve">σχέδια συμβάσεων για κατηγορίες </w:t>
      </w:r>
      <w:r w:rsidR="00BF2C16" w:rsidRPr="00BF2C16">
        <w:rPr>
          <w:rFonts w:asciiTheme="majorHAnsi" w:hAnsiTheme="majorHAnsi"/>
          <w:b w:val="0"/>
          <w:color w:val="000000"/>
          <w:sz w:val="22"/>
          <w:szCs w:val="22"/>
          <w:lang w:val="el-GR" w:eastAsia="el-GR" w:bidi="el-GR"/>
        </w:rPr>
        <w:lastRenderedPageBreak/>
        <w:t xml:space="preserve">παρόχων υγείας όπως </w:t>
      </w:r>
      <w:r w:rsidR="00BF2C16" w:rsidRPr="00BF2C16">
        <w:rPr>
          <w:rFonts w:asciiTheme="majorHAnsi" w:hAnsiTheme="majorHAnsi"/>
          <w:b w:val="0"/>
          <w:sz w:val="22"/>
          <w:szCs w:val="22"/>
          <w:lang w:val="el-GR"/>
        </w:rPr>
        <w:t xml:space="preserve">Ιδρύματα, Στέγες Υποστηριζόμενης Διαβίωσης, Ιατρικές Επισκέψεις, τα οποία </w:t>
      </w:r>
      <w:r w:rsidR="00387877">
        <w:rPr>
          <w:rFonts w:asciiTheme="majorHAnsi" w:hAnsiTheme="majorHAnsi"/>
          <w:b w:val="0"/>
          <w:sz w:val="22"/>
          <w:szCs w:val="22"/>
          <w:lang w:val="el-GR"/>
        </w:rPr>
        <w:t>μπορούν</w:t>
      </w:r>
      <w:r w:rsidR="00BF2C16" w:rsidRPr="00BF2C16">
        <w:rPr>
          <w:rFonts w:asciiTheme="majorHAnsi" w:hAnsiTheme="majorHAnsi"/>
          <w:b w:val="0"/>
          <w:sz w:val="22"/>
          <w:szCs w:val="22"/>
          <w:lang w:val="el-GR"/>
        </w:rPr>
        <w:t xml:space="preserve"> να αποτελέσουν σημεία έναρξης διαπραγμάτευσης με τους ενδιαφερόμενους παρόχους υγείας.</w:t>
      </w:r>
    </w:p>
    <w:p w14:paraId="650FFE3C" w14:textId="77777777" w:rsidR="00BC70BF" w:rsidRPr="00827975" w:rsidRDefault="00BC70BF" w:rsidP="00827975">
      <w:pPr>
        <w:tabs>
          <w:tab w:val="left" w:pos="9912"/>
        </w:tabs>
        <w:spacing w:before="120" w:after="120" w:line="360" w:lineRule="auto"/>
        <w:ind w:right="-11"/>
        <w:jc w:val="both"/>
        <w:rPr>
          <w:rFonts w:asciiTheme="majorHAnsi" w:hAnsiTheme="majorHAnsi" w:cs="Tahoma"/>
          <w:sz w:val="22"/>
          <w:lang w:val="el-GR"/>
        </w:rPr>
      </w:pPr>
    </w:p>
    <w:p w14:paraId="6B463094" w14:textId="1FC55956" w:rsidR="000F1DB1" w:rsidRPr="00827975" w:rsidRDefault="000F1DB1" w:rsidP="00827975">
      <w:pPr>
        <w:spacing w:before="120" w:after="120" w:line="360" w:lineRule="auto"/>
        <w:jc w:val="both"/>
        <w:rPr>
          <w:rFonts w:asciiTheme="majorHAnsi" w:hAnsiTheme="majorHAnsi"/>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Ανάπτυ</w:t>
      </w:r>
      <w:r w:rsidR="00B83221">
        <w:rPr>
          <w:rFonts w:asciiTheme="majorHAnsi" w:hAnsiTheme="majorHAnsi" w:cs="Tahoma"/>
          <w:color w:val="365F91" w:themeColor="accent1" w:themeShade="BF"/>
          <w:sz w:val="22"/>
          <w:u w:val="single"/>
          <w:lang w:val="el-GR"/>
        </w:rPr>
        <w:t>ξη συστήματος για την απευθείας</w:t>
      </w:r>
      <w:r w:rsidRPr="00827975">
        <w:rPr>
          <w:rFonts w:asciiTheme="majorHAnsi" w:hAnsiTheme="majorHAnsi" w:cs="Tahoma"/>
          <w:color w:val="365F91" w:themeColor="accent1" w:themeShade="BF"/>
          <w:sz w:val="22"/>
          <w:u w:val="single"/>
          <w:lang w:val="el-GR"/>
        </w:rPr>
        <w:t xml:space="preserve"> </w:t>
      </w:r>
      <w:r w:rsidRPr="00827975">
        <w:rPr>
          <w:rFonts w:asciiTheme="majorHAnsi" w:hAnsiTheme="majorHAnsi"/>
          <w:color w:val="365F91" w:themeColor="accent1" w:themeShade="BF"/>
          <w:sz w:val="22"/>
          <w:u w:val="single"/>
          <w:lang w:val="el-GR"/>
        </w:rPr>
        <w:t xml:space="preserve">υποβολή σε πραγματικό χρόνο από τους πιστοποιημένους (συμβεβλημένους) παρόχους όλων των απαιτήσεων και εκκαθάριση σύμφωνα με τον ΕΚΠΥ </w:t>
      </w:r>
    </w:p>
    <w:p w14:paraId="7EC288FC" w14:textId="6B534A49" w:rsidR="000F1DB1" w:rsidRPr="00827975" w:rsidRDefault="000F1DB1" w:rsidP="00827975">
      <w:pPr>
        <w:spacing w:before="120" w:after="120" w:line="360" w:lineRule="auto"/>
        <w:jc w:val="both"/>
        <w:rPr>
          <w:rFonts w:asciiTheme="majorHAnsi" w:hAnsiTheme="majorHAnsi" w:cs="Tahoma"/>
          <w:sz w:val="22"/>
          <w:lang w:val="el-GR"/>
        </w:rPr>
      </w:pPr>
      <w:r w:rsidRPr="00827975">
        <w:rPr>
          <w:rFonts w:asciiTheme="majorHAnsi" w:hAnsiTheme="majorHAnsi" w:cs="Tahoma"/>
          <w:sz w:val="22"/>
          <w:lang w:val="el-GR"/>
        </w:rPr>
        <w:t xml:space="preserve">Προκειμένου να αποφευχθεί η επιβάρυνση των ασφαλισμένων (πχ νεφροπαθείς, ινσουλοεξαρτώμενοι κα) με τη διαδικασία της αγοράς και της μετέπειτα απόδοσης της δαπάνης, αναπτύχθηκε στο </w:t>
      </w:r>
      <w:r w:rsidRPr="00827975">
        <w:rPr>
          <w:rFonts w:asciiTheme="majorHAnsi" w:hAnsiTheme="majorHAnsi" w:cs="Tahoma"/>
          <w:sz w:val="22"/>
        </w:rPr>
        <w:t>e</w:t>
      </w:r>
      <w:r w:rsidRPr="00827975">
        <w:rPr>
          <w:rFonts w:asciiTheme="majorHAnsi" w:hAnsiTheme="majorHAnsi" w:cs="Tahoma"/>
          <w:sz w:val="22"/>
          <w:lang w:val="el-GR"/>
        </w:rPr>
        <w:t xml:space="preserve">-ΔΑΠΥ η δυνατότητα των εξουσιοδοτημένων δικαιούχων (προμηθεύτριες εταιρείες ή/και φαρμακεία) να λαμβάνουν την απόδοση της δαπάνης για λογαριασμό των ασφαλισμένων, μέσω ειδικού κλειδάριθμου τον οποίο προμηθεύονται. Η νέα αυτή διαδικασία καταπολεμά τις πολύμηνες καθυστερήσεις στην αποπληρωμή των ασφαλισμένων, οι οποίοι τη στιγμή τη συναλλαγής επιβαρύνονται μόνο με τη συμμετοχή τους εφόσον προβλέπεται. Τις αμέσως επόμενες ημέρες εφαρμόζεται υποχρεωτικά η </w:t>
      </w:r>
      <w:r w:rsidR="00387877">
        <w:rPr>
          <w:rFonts w:asciiTheme="majorHAnsi" w:hAnsiTheme="majorHAnsi" w:cs="Tahoma"/>
          <w:sz w:val="22"/>
          <w:lang w:val="el-GR"/>
        </w:rPr>
        <w:t>ηλεκτρονική συνταγογράφηση</w:t>
      </w:r>
      <w:r w:rsidRPr="00827975">
        <w:rPr>
          <w:rFonts w:asciiTheme="majorHAnsi" w:hAnsiTheme="majorHAnsi" w:cs="Tahoma"/>
          <w:sz w:val="22"/>
          <w:lang w:val="el-GR"/>
        </w:rPr>
        <w:t xml:space="preserve"> και στα υπόλο</w:t>
      </w:r>
      <w:r w:rsidR="00B83221">
        <w:rPr>
          <w:rFonts w:asciiTheme="majorHAnsi" w:hAnsiTheme="majorHAnsi" w:cs="Tahoma"/>
          <w:sz w:val="22"/>
          <w:lang w:val="el-GR"/>
        </w:rPr>
        <w:t>ιπα ιατροτεχνολογικά προϊόντα (ο</w:t>
      </w:r>
      <w:r w:rsidRPr="00827975">
        <w:rPr>
          <w:rFonts w:asciiTheme="majorHAnsi" w:hAnsiTheme="majorHAnsi" w:cs="Tahoma"/>
          <w:sz w:val="22"/>
          <w:lang w:val="el-GR"/>
        </w:rPr>
        <w:t>στομικά υλικά) και</w:t>
      </w:r>
      <w:r w:rsidR="00A527F9">
        <w:rPr>
          <w:rFonts w:asciiTheme="majorHAnsi" w:hAnsiTheme="majorHAnsi" w:cs="Tahoma"/>
          <w:sz w:val="22"/>
          <w:lang w:val="el-GR"/>
        </w:rPr>
        <w:t xml:space="preserve"> στα σκευάσματα</w:t>
      </w:r>
      <w:r w:rsidRPr="00827975">
        <w:rPr>
          <w:rFonts w:asciiTheme="majorHAnsi" w:hAnsiTheme="majorHAnsi" w:cs="Tahoma"/>
          <w:sz w:val="22"/>
          <w:lang w:val="el-GR"/>
        </w:rPr>
        <w:t xml:space="preserve"> </w:t>
      </w:r>
      <w:r w:rsidR="00A527F9">
        <w:rPr>
          <w:rFonts w:asciiTheme="majorHAnsi" w:hAnsiTheme="majorHAnsi" w:cs="Tahoma"/>
          <w:sz w:val="22"/>
          <w:lang w:val="el-GR"/>
        </w:rPr>
        <w:t>ειδικής διατροφής, καθώς και των θ</w:t>
      </w:r>
      <w:r w:rsidRPr="00827975">
        <w:rPr>
          <w:rFonts w:asciiTheme="majorHAnsi" w:hAnsiTheme="majorHAnsi" w:cs="Tahoma"/>
          <w:sz w:val="22"/>
          <w:lang w:val="el-GR"/>
        </w:rPr>
        <w:t xml:space="preserve">εραπευτικών υποδημάτων για άτομα με </w:t>
      </w:r>
      <w:r w:rsidR="00A527F9">
        <w:rPr>
          <w:rFonts w:asciiTheme="majorHAnsi" w:hAnsiTheme="majorHAnsi" w:cs="Tahoma"/>
          <w:sz w:val="22"/>
          <w:lang w:val="el-GR"/>
        </w:rPr>
        <w:t>σακχαρώδη διαβήτη.</w:t>
      </w:r>
    </w:p>
    <w:p w14:paraId="176D38F2" w14:textId="77777777" w:rsidR="000F1DB1" w:rsidRPr="00827975" w:rsidRDefault="000F1DB1" w:rsidP="00827975">
      <w:pPr>
        <w:spacing w:before="120" w:after="120" w:line="360" w:lineRule="auto"/>
        <w:jc w:val="both"/>
        <w:rPr>
          <w:rFonts w:asciiTheme="majorHAnsi" w:hAnsiTheme="majorHAnsi" w:cs="Tahoma"/>
          <w:sz w:val="22"/>
          <w:lang w:val="el-GR"/>
        </w:rPr>
      </w:pPr>
    </w:p>
    <w:p w14:paraId="4FE62F66" w14:textId="21498C2E" w:rsidR="00B83221" w:rsidRPr="00B83221" w:rsidRDefault="00B83221" w:rsidP="00B83221">
      <w:pPr>
        <w:spacing w:line="360" w:lineRule="auto"/>
        <w:jc w:val="both"/>
        <w:rPr>
          <w:rFonts w:asciiTheme="majorHAnsi" w:hAnsiTheme="majorHAnsi"/>
          <w:color w:val="365F91" w:themeColor="accent1" w:themeShade="BF"/>
          <w:sz w:val="22"/>
          <w:u w:val="single"/>
          <w:lang w:val="el-GR"/>
        </w:rPr>
      </w:pPr>
      <w:r w:rsidRPr="00B83221">
        <w:rPr>
          <w:rFonts w:asciiTheme="majorHAnsi" w:hAnsiTheme="majorHAnsi"/>
          <w:color w:val="365F91" w:themeColor="accent1" w:themeShade="BF"/>
          <w:sz w:val="22"/>
          <w:u w:val="single"/>
          <w:lang w:val="el-GR"/>
        </w:rPr>
        <w:t>Λογισμικό αποτύπωσης και παρουσίασης απαιτήσεων ανοικτής περίθαλψης σε πραγματικό χρόνο</w:t>
      </w:r>
    </w:p>
    <w:p w14:paraId="710109E9" w14:textId="7555BB57" w:rsidR="00B83221" w:rsidRDefault="00B83221" w:rsidP="00B83221">
      <w:pPr>
        <w:spacing w:line="360" w:lineRule="auto"/>
        <w:jc w:val="both"/>
        <w:rPr>
          <w:rFonts w:asciiTheme="majorHAnsi" w:hAnsiTheme="majorHAnsi"/>
          <w:sz w:val="22"/>
          <w:lang w:val="el-GR"/>
        </w:rPr>
      </w:pPr>
      <w:r w:rsidRPr="00B83221">
        <w:rPr>
          <w:rFonts w:asciiTheme="majorHAnsi" w:hAnsiTheme="majorHAnsi"/>
          <w:sz w:val="22"/>
          <w:lang w:val="el-GR"/>
        </w:rPr>
        <w:t>Με την ανάπτυξη του συγκεκριμένου λογισμικού, γίνεται εφικτή η παρακολούθηση της εξέλιξης των δαπανών που αφορούν στην ανοικτή περίθαλψη, σε πραγματικό χρόνο, ανά νομό και ανά κατηγορία παρόχου. Επίσης δίνεται η δυνατότητα, ακόμη και σε επίπεδο ασφαλισμένου, παρακολούθησης (σε πραγματικό χρόνο) της εκτέλεσης των παραπεμπτικών. Με τη χρήση του άνω λογισμικού, υπάρχει πλέον η δυνατότητα συγκριτικής μελέτης κόστους-όγκου ανά νομό, ανά πολίτη, λαμβάνοντας υπόψη τα πληθυσμιακά κριτήρια και επίσης υπάρχει η δυνατότητα ελέγχου συχνότητας ανά ΑΜΚΑ (αντιμετώπιση προκλητής ζήτησης).</w:t>
      </w:r>
    </w:p>
    <w:p w14:paraId="47E40C07" w14:textId="77777777" w:rsidR="00DA09A0" w:rsidRDefault="00DA09A0" w:rsidP="00827975">
      <w:pPr>
        <w:spacing w:before="120" w:after="120" w:line="360" w:lineRule="auto"/>
        <w:jc w:val="both"/>
        <w:rPr>
          <w:rFonts w:asciiTheme="majorHAnsi" w:hAnsiTheme="majorHAnsi"/>
          <w:sz w:val="22"/>
          <w:lang w:val="el-GR"/>
        </w:rPr>
      </w:pPr>
    </w:p>
    <w:p w14:paraId="6E8C66D3" w14:textId="77777777" w:rsidR="00CA7FE2" w:rsidRDefault="00CA7FE2" w:rsidP="00827975">
      <w:pPr>
        <w:spacing w:before="120" w:after="120" w:line="360" w:lineRule="auto"/>
        <w:jc w:val="both"/>
        <w:rPr>
          <w:rFonts w:asciiTheme="majorHAnsi" w:hAnsiTheme="majorHAnsi"/>
          <w:sz w:val="22"/>
          <w:lang w:val="el-GR"/>
        </w:rPr>
      </w:pPr>
    </w:p>
    <w:p w14:paraId="1B51B0C1" w14:textId="77777777" w:rsidR="00CA7FE2" w:rsidRDefault="00CA7FE2" w:rsidP="00827975">
      <w:pPr>
        <w:spacing w:before="120" w:after="120" w:line="360" w:lineRule="auto"/>
        <w:jc w:val="both"/>
        <w:rPr>
          <w:rFonts w:asciiTheme="majorHAnsi" w:hAnsiTheme="majorHAnsi"/>
          <w:sz w:val="22"/>
          <w:lang w:val="el-GR"/>
        </w:rPr>
      </w:pPr>
    </w:p>
    <w:p w14:paraId="27F69895" w14:textId="77777777" w:rsidR="00CA7FE2" w:rsidRPr="00827975" w:rsidRDefault="00CA7FE2" w:rsidP="00827975">
      <w:pPr>
        <w:spacing w:before="120" w:after="120" w:line="360" w:lineRule="auto"/>
        <w:jc w:val="both"/>
        <w:rPr>
          <w:rFonts w:asciiTheme="majorHAnsi" w:hAnsiTheme="majorHAnsi"/>
          <w:sz w:val="22"/>
          <w:lang w:val="el-GR"/>
        </w:rPr>
      </w:pPr>
    </w:p>
    <w:p w14:paraId="42D953E7" w14:textId="0678C3B2" w:rsidR="00DA09A0" w:rsidRPr="00210B99" w:rsidRDefault="00DA09A0" w:rsidP="00827975">
      <w:pPr>
        <w:pStyle w:val="a4"/>
        <w:spacing w:before="120" w:after="120" w:line="360" w:lineRule="auto"/>
        <w:jc w:val="both"/>
        <w:rPr>
          <w:rFonts w:asciiTheme="majorHAnsi" w:hAnsiTheme="majorHAnsi"/>
          <w:color w:val="365F91" w:themeColor="accent1" w:themeShade="BF"/>
          <w:sz w:val="22"/>
          <w:u w:val="single"/>
          <w:lang w:val="el-GR"/>
        </w:rPr>
      </w:pPr>
      <w:r w:rsidRPr="00210B99">
        <w:rPr>
          <w:rFonts w:asciiTheme="majorHAnsi" w:hAnsiTheme="majorHAnsi"/>
          <w:color w:val="365F91" w:themeColor="accent1" w:themeShade="BF"/>
          <w:sz w:val="22"/>
          <w:u w:val="single"/>
          <w:lang w:val="el-GR"/>
        </w:rPr>
        <w:lastRenderedPageBreak/>
        <w:t>Εκσυγχρονισμός υπηρεσιών</w:t>
      </w:r>
      <w:r w:rsidR="0083201E" w:rsidRPr="00210B99">
        <w:rPr>
          <w:rFonts w:asciiTheme="majorHAnsi" w:hAnsiTheme="majorHAnsi"/>
          <w:color w:val="365F91" w:themeColor="accent1" w:themeShade="BF"/>
          <w:sz w:val="22"/>
          <w:u w:val="single"/>
          <w:lang w:val="el-GR"/>
        </w:rPr>
        <w:t xml:space="preserve"> προς τον ασφαλισμένο</w:t>
      </w:r>
    </w:p>
    <w:p w14:paraId="73CACAF7" w14:textId="77777777" w:rsidR="00210B99" w:rsidRPr="00210B99" w:rsidRDefault="00210B99" w:rsidP="00210B99">
      <w:pPr>
        <w:pStyle w:val="a4"/>
        <w:numPr>
          <w:ilvl w:val="0"/>
          <w:numId w:val="28"/>
        </w:numPr>
        <w:spacing w:after="0" w:line="360" w:lineRule="auto"/>
        <w:jc w:val="both"/>
        <w:rPr>
          <w:rFonts w:asciiTheme="majorHAnsi" w:hAnsiTheme="majorHAnsi" w:cs="Tahoma"/>
          <w:sz w:val="22"/>
          <w:lang w:val="el-GR"/>
        </w:rPr>
      </w:pPr>
      <w:r w:rsidRPr="00210B99">
        <w:rPr>
          <w:rFonts w:asciiTheme="majorHAnsi" w:hAnsiTheme="majorHAnsi" w:cs="Tahoma"/>
          <w:sz w:val="22"/>
          <w:lang w:val="el-GR"/>
        </w:rPr>
        <w:t xml:space="preserve">Ανάπτυξη λογισμικού μέσω του οποίου είναι δυνατή η άμεση ενημέρωση των ασφαλισμένων για τη διαθεσιμότητα ιατρικών επισκέψεων των συμβεβλημένων ιατρών του ΕΟΠΥΥ στο </w:t>
      </w:r>
      <w:r w:rsidRPr="00210B99">
        <w:rPr>
          <w:rFonts w:asciiTheme="majorHAnsi" w:hAnsiTheme="majorHAnsi" w:cs="Tahoma"/>
          <w:sz w:val="22"/>
        </w:rPr>
        <w:t>site</w:t>
      </w:r>
      <w:r w:rsidRPr="00210B99">
        <w:rPr>
          <w:rFonts w:asciiTheme="majorHAnsi" w:hAnsiTheme="majorHAnsi" w:cs="Tahoma"/>
          <w:sz w:val="22"/>
          <w:lang w:val="el-GR"/>
        </w:rPr>
        <w:t xml:space="preserve"> του Οργανισμού, </w:t>
      </w:r>
      <w:hyperlink r:id="rId11" w:history="1">
        <w:r w:rsidRPr="00210B99">
          <w:rPr>
            <w:rStyle w:val="-"/>
            <w:rFonts w:asciiTheme="majorHAnsi" w:hAnsiTheme="majorHAnsi" w:cs="Tahoma"/>
            <w:sz w:val="22"/>
          </w:rPr>
          <w:t>www</w:t>
        </w:r>
        <w:r w:rsidRPr="00210B99">
          <w:rPr>
            <w:rStyle w:val="-"/>
            <w:rFonts w:asciiTheme="majorHAnsi" w:hAnsiTheme="majorHAnsi" w:cs="Tahoma"/>
            <w:sz w:val="22"/>
            <w:lang w:val="el-GR"/>
          </w:rPr>
          <w:t>.</w:t>
        </w:r>
        <w:proofErr w:type="spellStart"/>
        <w:r w:rsidRPr="00210B99">
          <w:rPr>
            <w:rStyle w:val="-"/>
            <w:rFonts w:asciiTheme="majorHAnsi" w:hAnsiTheme="majorHAnsi" w:cs="Tahoma"/>
            <w:sz w:val="22"/>
          </w:rPr>
          <w:t>eopyy</w:t>
        </w:r>
        <w:proofErr w:type="spellEnd"/>
        <w:r w:rsidRPr="00210B99">
          <w:rPr>
            <w:rStyle w:val="-"/>
            <w:rFonts w:asciiTheme="majorHAnsi" w:hAnsiTheme="majorHAnsi" w:cs="Tahoma"/>
            <w:sz w:val="22"/>
            <w:lang w:val="el-GR"/>
          </w:rPr>
          <w:t>.</w:t>
        </w:r>
        <w:proofErr w:type="spellStart"/>
        <w:r w:rsidRPr="00210B99">
          <w:rPr>
            <w:rStyle w:val="-"/>
            <w:rFonts w:asciiTheme="majorHAnsi" w:hAnsiTheme="majorHAnsi" w:cs="Tahoma"/>
            <w:sz w:val="22"/>
          </w:rPr>
          <w:t>gov</w:t>
        </w:r>
        <w:proofErr w:type="spellEnd"/>
        <w:r w:rsidRPr="00210B99">
          <w:rPr>
            <w:rStyle w:val="-"/>
            <w:rFonts w:asciiTheme="majorHAnsi" w:hAnsiTheme="majorHAnsi" w:cs="Tahoma"/>
            <w:sz w:val="22"/>
            <w:lang w:val="el-GR"/>
          </w:rPr>
          <w:t>.</w:t>
        </w:r>
        <w:r w:rsidRPr="00210B99">
          <w:rPr>
            <w:rStyle w:val="-"/>
            <w:rFonts w:asciiTheme="majorHAnsi" w:hAnsiTheme="majorHAnsi" w:cs="Tahoma"/>
            <w:sz w:val="22"/>
          </w:rPr>
          <w:t>gr</w:t>
        </w:r>
      </w:hyperlink>
      <w:r w:rsidRPr="00210B99">
        <w:rPr>
          <w:rFonts w:asciiTheme="majorHAnsi" w:hAnsiTheme="majorHAnsi" w:cs="Tahoma"/>
          <w:sz w:val="22"/>
          <w:lang w:val="el-GR"/>
        </w:rPr>
        <w:t xml:space="preserve">.  </w:t>
      </w:r>
    </w:p>
    <w:p w14:paraId="45D96BDA" w14:textId="77777777" w:rsidR="00210B99" w:rsidRPr="00210B99" w:rsidRDefault="00210B99" w:rsidP="00210B99">
      <w:pPr>
        <w:pStyle w:val="a4"/>
        <w:numPr>
          <w:ilvl w:val="0"/>
          <w:numId w:val="28"/>
        </w:numPr>
        <w:spacing w:after="0" w:line="360" w:lineRule="auto"/>
        <w:jc w:val="both"/>
        <w:rPr>
          <w:rFonts w:asciiTheme="majorHAnsi" w:hAnsiTheme="majorHAnsi" w:cs="Tahoma"/>
          <w:sz w:val="22"/>
          <w:lang w:val="el-GR"/>
        </w:rPr>
      </w:pPr>
      <w:r w:rsidRPr="00210B99">
        <w:rPr>
          <w:rFonts w:asciiTheme="majorHAnsi" w:hAnsiTheme="majorHAnsi" w:cs="Tahoma"/>
          <w:sz w:val="22"/>
          <w:lang w:val="el-GR"/>
        </w:rPr>
        <w:t>Καθολική εφαρμογή ηλεκτρονικών συναλλαγών χωρίς αναμονή και ενδεχόμενες πρόσθετες επιβαρύνσεις για τους ασφαλισμένους.</w:t>
      </w:r>
    </w:p>
    <w:p w14:paraId="410B696E" w14:textId="77777777" w:rsidR="00210B99" w:rsidRPr="00210B99" w:rsidRDefault="00210B99" w:rsidP="00210B99">
      <w:pPr>
        <w:pStyle w:val="a3"/>
        <w:numPr>
          <w:ilvl w:val="0"/>
          <w:numId w:val="28"/>
        </w:numPr>
        <w:spacing w:line="360" w:lineRule="auto"/>
        <w:jc w:val="both"/>
        <w:rPr>
          <w:rFonts w:asciiTheme="majorHAnsi" w:hAnsiTheme="majorHAnsi" w:cs="Tahoma"/>
        </w:rPr>
      </w:pPr>
      <w:r w:rsidRPr="00210B99">
        <w:rPr>
          <w:rFonts w:asciiTheme="majorHAnsi" w:hAnsiTheme="majorHAnsi" w:cs="Tahoma"/>
        </w:rPr>
        <w:t>Διασύνδεση φαρμακείων ΕΟΠΥΥ με σύστημα ηλεκτρονικής συνταγογράφησης.</w:t>
      </w:r>
    </w:p>
    <w:p w14:paraId="6DD875A1" w14:textId="77777777" w:rsidR="00210B99" w:rsidRPr="00210B99" w:rsidRDefault="00210B99" w:rsidP="00210B99">
      <w:pPr>
        <w:pStyle w:val="a3"/>
        <w:numPr>
          <w:ilvl w:val="0"/>
          <w:numId w:val="28"/>
        </w:numPr>
        <w:spacing w:line="360" w:lineRule="auto"/>
        <w:jc w:val="both"/>
        <w:rPr>
          <w:rFonts w:asciiTheme="majorHAnsi" w:hAnsiTheme="majorHAnsi" w:cs="Tahoma"/>
        </w:rPr>
      </w:pPr>
      <w:r w:rsidRPr="00210B99">
        <w:rPr>
          <w:rFonts w:asciiTheme="majorHAnsi" w:hAnsiTheme="majorHAnsi" w:cs="Tahoma"/>
        </w:rPr>
        <w:t>Διασύνδεση υπηρεσιών ΕΟΠΥΥ με σύστημα ATLAS για έλεγχο ασφαλιστικής ικανότητας.</w:t>
      </w:r>
    </w:p>
    <w:p w14:paraId="24258512" w14:textId="77777777" w:rsidR="00210B99" w:rsidRPr="00210B99" w:rsidRDefault="00210B99" w:rsidP="00210B99">
      <w:pPr>
        <w:pStyle w:val="a3"/>
        <w:numPr>
          <w:ilvl w:val="0"/>
          <w:numId w:val="28"/>
        </w:numPr>
        <w:spacing w:line="360" w:lineRule="auto"/>
        <w:jc w:val="both"/>
        <w:rPr>
          <w:rFonts w:asciiTheme="majorHAnsi" w:hAnsiTheme="majorHAnsi" w:cs="Tahoma"/>
        </w:rPr>
      </w:pPr>
      <w:r w:rsidRPr="00210B99">
        <w:rPr>
          <w:rFonts w:asciiTheme="majorHAnsi" w:hAnsiTheme="majorHAnsi" w:cs="Tahoma"/>
        </w:rPr>
        <w:t>Ηλεκτρονική έκδοση ιατρικών γνωματεύσεων και αξιοποίηση τους για έλεγχο και εκκαθάριση παροχών.</w:t>
      </w:r>
    </w:p>
    <w:p w14:paraId="4E6EC673" w14:textId="47C60716" w:rsidR="00210B99" w:rsidRPr="00210B99" w:rsidRDefault="00210B99" w:rsidP="00210B99">
      <w:pPr>
        <w:pStyle w:val="a3"/>
        <w:numPr>
          <w:ilvl w:val="0"/>
          <w:numId w:val="28"/>
        </w:numPr>
        <w:spacing w:line="360" w:lineRule="auto"/>
        <w:jc w:val="both"/>
        <w:rPr>
          <w:rFonts w:asciiTheme="majorHAnsi" w:hAnsiTheme="majorHAnsi" w:cs="Tahoma"/>
        </w:rPr>
      </w:pPr>
      <w:r w:rsidRPr="00210B99">
        <w:rPr>
          <w:rFonts w:asciiTheme="majorHAnsi" w:hAnsiTheme="majorHAnsi" w:cs="Tahoma"/>
        </w:rPr>
        <w:t>Ανάπτυξη ηλεκτρονικών υπηρεσιών που αφορούν την συνεργασία του ΕΟΠΥΥ με παρόχους ανοικτής και κλειστής περίθαλψης (</w:t>
      </w:r>
      <w:r w:rsidR="006C5162">
        <w:rPr>
          <w:rFonts w:asciiTheme="majorHAnsi" w:hAnsiTheme="majorHAnsi" w:cs="Tahoma"/>
        </w:rPr>
        <w:t>νοσοκομεία, ιδιωτικές κλινικές</w:t>
      </w:r>
      <w:r w:rsidRPr="00210B99">
        <w:rPr>
          <w:rFonts w:asciiTheme="majorHAnsi" w:hAnsiTheme="majorHAnsi" w:cs="Tahoma"/>
        </w:rPr>
        <w:t>, διαγνωστικά κέντρα, φαρμακεία, πάροχοι ιατρικών υλ</w:t>
      </w:r>
      <w:r w:rsidR="00031472">
        <w:rPr>
          <w:rFonts w:asciiTheme="majorHAnsi" w:hAnsiTheme="majorHAnsi" w:cs="Tahoma"/>
        </w:rPr>
        <w:t>ικών</w:t>
      </w:r>
      <w:r w:rsidR="00960450">
        <w:rPr>
          <w:rFonts w:asciiTheme="majorHAnsi" w:hAnsiTheme="majorHAnsi" w:cs="Tahoma"/>
        </w:rPr>
        <w:t>, κέντρα αποκατάστασης κλπ</w:t>
      </w:r>
      <w:r w:rsidRPr="00210B99">
        <w:rPr>
          <w:rFonts w:asciiTheme="majorHAnsi" w:hAnsiTheme="majorHAnsi" w:cs="Tahoma"/>
        </w:rPr>
        <w:t xml:space="preserve">) με έμφαση στην υποστήριξη διαλειτουργικότητας των συστημάτων τους με αποτέλεσμα την άμεση και ποιοτική εξυπηρέτηση των ασφαλισμένων. </w:t>
      </w:r>
    </w:p>
    <w:p w14:paraId="12AE46A8" w14:textId="0E3D1FF8" w:rsidR="00DA09A0" w:rsidRPr="00827975" w:rsidRDefault="00827975" w:rsidP="00827975">
      <w:pPr>
        <w:spacing w:before="120" w:after="120" w:line="360" w:lineRule="auto"/>
        <w:rPr>
          <w:rFonts w:asciiTheme="majorHAnsi" w:hAnsiTheme="majorHAnsi" w:cs="Tahoma"/>
          <w:sz w:val="22"/>
          <w:lang w:val="el-GR"/>
        </w:rPr>
      </w:pPr>
      <w:r w:rsidRPr="00827975">
        <w:rPr>
          <w:rFonts w:asciiTheme="majorHAnsi" w:hAnsiTheme="majorHAnsi" w:cs="Tahoma"/>
          <w:sz w:val="22"/>
          <w:lang w:val="el-GR"/>
        </w:rPr>
        <w:br w:type="page"/>
      </w:r>
    </w:p>
    <w:p w14:paraId="07D606EC" w14:textId="2F7710A1" w:rsidR="00BC70BF" w:rsidRPr="00827975" w:rsidRDefault="00DA09A0" w:rsidP="00827975">
      <w:pPr>
        <w:shd w:val="clear" w:color="auto" w:fill="DBE5F1" w:themeFill="accent1" w:themeFillTint="33"/>
        <w:spacing w:before="120" w:after="120" w:line="360" w:lineRule="auto"/>
        <w:rPr>
          <w:rFonts w:asciiTheme="majorHAnsi" w:hAnsiTheme="majorHAnsi" w:cs="Tahoma"/>
          <w:b/>
          <w:color w:val="E36C0A" w:themeColor="accent6" w:themeShade="BF"/>
          <w:sz w:val="22"/>
          <w:lang w:val="el-GR"/>
        </w:rPr>
      </w:pPr>
      <w:r w:rsidRPr="00827975">
        <w:rPr>
          <w:rFonts w:asciiTheme="majorHAnsi" w:hAnsiTheme="majorHAnsi" w:cs="Tahoma"/>
          <w:b/>
          <w:color w:val="E36C0A" w:themeColor="accent6" w:themeShade="BF"/>
          <w:sz w:val="22"/>
          <w:lang w:val="el-GR"/>
        </w:rPr>
        <w:lastRenderedPageBreak/>
        <w:t xml:space="preserve">Διαχείριση διαγνωστικών και θεραπευτικών πράξεων </w:t>
      </w:r>
    </w:p>
    <w:p w14:paraId="07AEC341" w14:textId="77777777" w:rsidR="007D4A4F" w:rsidRDefault="007D4A4F" w:rsidP="00827975">
      <w:pPr>
        <w:spacing w:before="120" w:after="120" w:line="360" w:lineRule="auto"/>
        <w:jc w:val="both"/>
        <w:rPr>
          <w:rFonts w:asciiTheme="majorHAnsi" w:hAnsiTheme="majorHAnsi" w:cs="Tahoma"/>
          <w:b/>
          <w:color w:val="E36C0A" w:themeColor="accent6" w:themeShade="BF"/>
          <w:sz w:val="22"/>
          <w:lang w:val="el-GR"/>
        </w:rPr>
      </w:pPr>
    </w:p>
    <w:p w14:paraId="29C6B003" w14:textId="25D9DBD7" w:rsidR="00A527F9" w:rsidRPr="009B7BD7" w:rsidRDefault="006C5162" w:rsidP="00A527F9">
      <w:pPr>
        <w:spacing w:before="120" w:after="120" w:line="360" w:lineRule="auto"/>
        <w:jc w:val="both"/>
        <w:rPr>
          <w:rFonts w:asciiTheme="majorHAnsi" w:hAnsiTheme="majorHAnsi" w:cs="Tahoma"/>
          <w:sz w:val="22"/>
          <w:lang w:val="el-GR"/>
        </w:rPr>
      </w:pPr>
      <w:r w:rsidRPr="006C5162">
        <w:rPr>
          <w:rFonts w:asciiTheme="majorHAnsi" w:hAnsiTheme="majorHAnsi" w:cs="Tahoma"/>
          <w:sz w:val="22"/>
          <w:lang w:val="el-GR"/>
        </w:rPr>
        <w:t xml:space="preserve">Για τον </w:t>
      </w:r>
      <w:r>
        <w:rPr>
          <w:rFonts w:asciiTheme="majorHAnsi" w:hAnsiTheme="majorHAnsi" w:cs="Tahoma"/>
          <w:sz w:val="22"/>
          <w:lang w:val="el-GR"/>
        </w:rPr>
        <w:t xml:space="preserve">έλεγχο και τη διαχείριση των δαπανών για διαγνωστικές εξετάσεις, </w:t>
      </w:r>
      <w:r w:rsidR="00A527F9">
        <w:rPr>
          <w:rFonts w:asciiTheme="majorHAnsi" w:hAnsiTheme="majorHAnsi" w:cs="Tahoma"/>
          <w:sz w:val="22"/>
          <w:lang w:val="el-GR"/>
        </w:rPr>
        <w:t xml:space="preserve">έχει διαμορφωθεί </w:t>
      </w:r>
      <w:r>
        <w:rPr>
          <w:rFonts w:asciiTheme="majorHAnsi" w:hAnsiTheme="majorHAnsi" w:cs="Tahoma"/>
          <w:sz w:val="22"/>
          <w:lang w:val="el-GR"/>
        </w:rPr>
        <w:t xml:space="preserve">ολοκληρωμένη πρόταση, </w:t>
      </w:r>
      <w:r w:rsidR="00A527F9">
        <w:rPr>
          <w:rFonts w:asciiTheme="majorHAnsi" w:hAnsiTheme="majorHAnsi" w:cs="Tahoma"/>
          <w:sz w:val="22"/>
          <w:lang w:val="el-GR"/>
        </w:rPr>
        <w:t>με επιμέρους δράσεις οι οποίες εισάγουν νέες διαδικασίες και εργαλεία και παρουσιάζονται στη συνέχεια. Μέρος των προτάσεων έχει ήδη υλοποιηθεί με σημαντικά οφέλη για τον Οργανισμό.  Ειδικότερα, οι κάτωθι</w:t>
      </w:r>
      <w:r w:rsidR="00A527F9" w:rsidRPr="009B7BD7">
        <w:rPr>
          <w:rFonts w:asciiTheme="majorHAnsi" w:hAnsiTheme="majorHAnsi" w:cs="Tahoma"/>
          <w:sz w:val="22"/>
          <w:lang w:val="el-GR"/>
        </w:rPr>
        <w:t xml:space="preserve"> προτάσεις </w:t>
      </w:r>
      <w:r w:rsidR="00A527F9">
        <w:rPr>
          <w:rFonts w:asciiTheme="majorHAnsi" w:hAnsiTheme="majorHAnsi" w:cs="Tahoma"/>
          <w:sz w:val="22"/>
          <w:lang w:val="el-GR"/>
        </w:rPr>
        <w:t>διασφα</w:t>
      </w:r>
      <w:r w:rsidR="00A527F9" w:rsidRPr="009B7BD7">
        <w:rPr>
          <w:rFonts w:asciiTheme="majorHAnsi" w:hAnsiTheme="majorHAnsi" w:cs="Tahoma"/>
          <w:sz w:val="22"/>
          <w:lang w:val="el-GR"/>
        </w:rPr>
        <w:t xml:space="preserve">λίζουν τη συγκράτηση της δαπάνης και την αποφυγή μέτρων όπως </w:t>
      </w:r>
      <w:r w:rsidR="00A527F9">
        <w:rPr>
          <w:rFonts w:asciiTheme="majorHAnsi" w:hAnsiTheme="majorHAnsi" w:cs="Tahoma"/>
          <w:sz w:val="22"/>
          <w:lang w:val="el-GR"/>
        </w:rPr>
        <w:t xml:space="preserve">το </w:t>
      </w:r>
      <w:r w:rsidR="00A527F9" w:rsidRPr="009B7BD7">
        <w:rPr>
          <w:rFonts w:asciiTheme="majorHAnsi" w:hAnsiTheme="majorHAnsi" w:cs="Tahoma"/>
          <w:sz w:val="22"/>
        </w:rPr>
        <w:t>clawback</w:t>
      </w:r>
      <w:r w:rsidR="00A527F9" w:rsidRPr="009B7BD7">
        <w:rPr>
          <w:rFonts w:asciiTheme="majorHAnsi" w:hAnsiTheme="majorHAnsi" w:cs="Tahoma"/>
          <w:sz w:val="22"/>
          <w:lang w:val="el-GR"/>
        </w:rPr>
        <w:t>. Πιο συγκεκριμένα η εφαρμογή από την αρχή του χρόνου των κατευθυντήριων οδηγιών, των επιτρεπόμενων ορίων παραπομπής, των κοφτών ανά ιατρική ειδικότητα, του αποκλεισμού των εργαστηριακών ειδικοτήτων από την παραπομπή εξετάσεων, είχε ως αποτέλεσμα τον περιορισμό της συνταγογράφησης και εξασφάλισε με βάση τα στοιχεία του α΄ εξαμήνου μία μείωση της τάξης του 14.53% (45.500.000€). Εκτιμ</w:t>
      </w:r>
      <w:r w:rsidR="00A527F9">
        <w:rPr>
          <w:rFonts w:asciiTheme="majorHAnsi" w:hAnsiTheme="majorHAnsi" w:cs="Tahoma"/>
          <w:sz w:val="22"/>
          <w:lang w:val="el-GR"/>
        </w:rPr>
        <w:t>άται</w:t>
      </w:r>
      <w:r w:rsidR="00A527F9" w:rsidRPr="009B7BD7">
        <w:rPr>
          <w:rFonts w:asciiTheme="majorHAnsi" w:hAnsiTheme="majorHAnsi" w:cs="Tahoma"/>
          <w:sz w:val="22"/>
          <w:lang w:val="el-GR"/>
        </w:rPr>
        <w:t xml:space="preserve"> ότι για το σύνολο του έτους </w:t>
      </w:r>
      <w:r w:rsidR="008B4A13">
        <w:rPr>
          <w:rFonts w:asciiTheme="majorHAnsi" w:hAnsiTheme="majorHAnsi" w:cs="Tahoma"/>
          <w:sz w:val="22"/>
          <w:lang w:val="el-GR"/>
        </w:rPr>
        <w:t xml:space="preserve">2015, </w:t>
      </w:r>
      <w:r w:rsidR="00A527F9">
        <w:rPr>
          <w:rFonts w:asciiTheme="majorHAnsi" w:hAnsiTheme="majorHAnsi" w:cs="Tahoma"/>
          <w:sz w:val="22"/>
          <w:lang w:val="el-GR"/>
        </w:rPr>
        <w:t>η</w:t>
      </w:r>
      <w:r w:rsidR="00A527F9" w:rsidRPr="009B7BD7">
        <w:rPr>
          <w:rFonts w:asciiTheme="majorHAnsi" w:hAnsiTheme="majorHAnsi" w:cs="Tahoma"/>
          <w:sz w:val="22"/>
          <w:lang w:val="el-GR"/>
        </w:rPr>
        <w:t xml:space="preserve"> δαπάνη </w:t>
      </w:r>
      <w:r w:rsidR="00A527F9">
        <w:rPr>
          <w:rFonts w:asciiTheme="majorHAnsi" w:hAnsiTheme="majorHAnsi" w:cs="Tahoma"/>
          <w:sz w:val="22"/>
          <w:lang w:val="el-GR"/>
        </w:rPr>
        <w:t>θα ανέλθει σε 508.000.000€</w:t>
      </w:r>
      <w:r w:rsidR="008B4A13">
        <w:rPr>
          <w:rFonts w:asciiTheme="majorHAnsi" w:hAnsiTheme="majorHAnsi" w:cs="Tahoma"/>
          <w:sz w:val="22"/>
          <w:lang w:val="el-GR"/>
        </w:rPr>
        <w:t xml:space="preserve"> έναντι 602.000.000€  το 2014</w:t>
      </w:r>
      <w:r w:rsidR="00A527F9">
        <w:rPr>
          <w:rFonts w:asciiTheme="majorHAnsi" w:hAnsiTheme="majorHAnsi" w:cs="Tahoma"/>
          <w:sz w:val="22"/>
          <w:lang w:val="el-GR"/>
        </w:rPr>
        <w:t xml:space="preserve">. </w:t>
      </w:r>
      <w:r w:rsidR="00A527F9" w:rsidRPr="009B7BD7">
        <w:rPr>
          <w:rFonts w:asciiTheme="majorHAnsi" w:hAnsiTheme="majorHAnsi" w:cs="Tahoma"/>
          <w:sz w:val="22"/>
          <w:lang w:val="el-GR"/>
        </w:rPr>
        <w:t xml:space="preserve">Με την υλοποίηση της </w:t>
      </w:r>
      <w:r w:rsidR="00A527F9">
        <w:rPr>
          <w:rFonts w:asciiTheme="majorHAnsi" w:hAnsiTheme="majorHAnsi" w:cs="Tahoma"/>
          <w:sz w:val="22"/>
          <w:lang w:val="el-GR"/>
        </w:rPr>
        <w:t>πρότασης</w:t>
      </w:r>
      <w:r w:rsidR="00A527F9" w:rsidRPr="009B7BD7">
        <w:rPr>
          <w:rFonts w:asciiTheme="majorHAnsi" w:hAnsiTheme="majorHAnsi" w:cs="Tahoma"/>
          <w:sz w:val="22"/>
          <w:lang w:val="el-GR"/>
        </w:rPr>
        <w:t xml:space="preserve"> για κλιμακωτό </w:t>
      </w:r>
      <w:r w:rsidR="00A527F9" w:rsidRPr="009B7BD7">
        <w:rPr>
          <w:rFonts w:asciiTheme="majorHAnsi" w:hAnsiTheme="majorHAnsi" w:cs="Tahoma"/>
          <w:sz w:val="22"/>
        </w:rPr>
        <w:t>rebate</w:t>
      </w:r>
      <w:r w:rsidR="00A527F9" w:rsidRPr="009B7BD7">
        <w:rPr>
          <w:rFonts w:asciiTheme="majorHAnsi" w:hAnsiTheme="majorHAnsi" w:cs="Tahoma"/>
          <w:sz w:val="22"/>
          <w:lang w:val="el-GR"/>
        </w:rPr>
        <w:t xml:space="preserve"> όγκου, θα </w:t>
      </w:r>
      <w:r w:rsidR="00A527F9">
        <w:rPr>
          <w:rFonts w:asciiTheme="majorHAnsi" w:hAnsiTheme="majorHAnsi" w:cs="Tahoma"/>
          <w:sz w:val="22"/>
          <w:lang w:val="el-GR"/>
        </w:rPr>
        <w:t xml:space="preserve">επέλθει </w:t>
      </w:r>
      <w:r w:rsidR="00A527F9" w:rsidRPr="009B7BD7">
        <w:rPr>
          <w:rFonts w:asciiTheme="majorHAnsi" w:hAnsiTheme="majorHAnsi" w:cs="Tahoma"/>
          <w:sz w:val="22"/>
          <w:lang w:val="el-GR"/>
        </w:rPr>
        <w:t>μία μείωση της τάξης των 110.000.000€. Επομένως</w:t>
      </w:r>
      <w:r w:rsidR="00A527F9">
        <w:rPr>
          <w:rFonts w:asciiTheme="majorHAnsi" w:hAnsiTheme="majorHAnsi" w:cs="Tahoma"/>
          <w:sz w:val="22"/>
          <w:lang w:val="el-GR"/>
        </w:rPr>
        <w:t>, το</w:t>
      </w:r>
      <w:r w:rsidR="00A527F9" w:rsidRPr="009B7BD7">
        <w:rPr>
          <w:rFonts w:asciiTheme="majorHAnsi" w:hAnsiTheme="majorHAnsi" w:cs="Tahoma"/>
          <w:sz w:val="22"/>
          <w:lang w:val="el-GR"/>
        </w:rPr>
        <w:t xml:space="preserve"> σύνολο </w:t>
      </w:r>
      <w:r w:rsidR="00A527F9">
        <w:rPr>
          <w:rFonts w:asciiTheme="majorHAnsi" w:hAnsiTheme="majorHAnsi" w:cs="Tahoma"/>
          <w:sz w:val="22"/>
          <w:lang w:val="el-GR"/>
        </w:rPr>
        <w:t xml:space="preserve">θα ανέλθει σε </w:t>
      </w:r>
      <w:r w:rsidR="00A527F9" w:rsidRPr="009B7BD7">
        <w:rPr>
          <w:rFonts w:asciiTheme="majorHAnsi" w:hAnsiTheme="majorHAnsi" w:cs="Tahoma"/>
          <w:sz w:val="22"/>
          <w:lang w:val="el-GR"/>
        </w:rPr>
        <w:t>390.000.000€ και άρα</w:t>
      </w:r>
      <w:r w:rsidR="00A527F9">
        <w:rPr>
          <w:rFonts w:asciiTheme="majorHAnsi" w:hAnsiTheme="majorHAnsi" w:cs="Tahoma"/>
          <w:sz w:val="22"/>
          <w:lang w:val="el-GR"/>
        </w:rPr>
        <w:t>, βάση του</w:t>
      </w:r>
      <w:r w:rsidR="00A527F9" w:rsidRPr="009B7BD7">
        <w:rPr>
          <w:rFonts w:asciiTheme="majorHAnsi" w:hAnsiTheme="majorHAnsi" w:cs="Tahoma"/>
          <w:sz w:val="22"/>
          <w:lang w:val="el-GR"/>
        </w:rPr>
        <w:t xml:space="preserve"> χειρότερο</w:t>
      </w:r>
      <w:r w:rsidR="00A527F9">
        <w:rPr>
          <w:rFonts w:asciiTheme="majorHAnsi" w:hAnsiTheme="majorHAnsi" w:cs="Tahoma"/>
          <w:sz w:val="22"/>
          <w:lang w:val="el-GR"/>
        </w:rPr>
        <w:t>υ σεναρίου</w:t>
      </w:r>
      <w:r w:rsidR="00A527F9" w:rsidRPr="009B7BD7">
        <w:rPr>
          <w:rFonts w:asciiTheme="majorHAnsi" w:hAnsiTheme="majorHAnsi" w:cs="Tahoma"/>
          <w:sz w:val="22"/>
          <w:lang w:val="el-GR"/>
        </w:rPr>
        <w:t>,</w:t>
      </w:r>
      <w:r w:rsidR="00A527F9">
        <w:rPr>
          <w:rFonts w:asciiTheme="majorHAnsi" w:hAnsiTheme="majorHAnsi" w:cs="Tahoma"/>
          <w:sz w:val="22"/>
          <w:lang w:val="el-GR"/>
        </w:rPr>
        <w:t xml:space="preserve"> θα απαιτηθεί</w:t>
      </w:r>
      <w:r w:rsidR="00A527F9" w:rsidRPr="009B7BD7">
        <w:rPr>
          <w:rFonts w:asciiTheme="majorHAnsi" w:hAnsiTheme="majorHAnsi" w:cs="Tahoma"/>
          <w:sz w:val="22"/>
          <w:lang w:val="el-GR"/>
        </w:rPr>
        <w:t xml:space="preserve"> </w:t>
      </w:r>
      <w:r w:rsidR="00A527F9">
        <w:rPr>
          <w:rFonts w:asciiTheme="majorHAnsi" w:hAnsiTheme="majorHAnsi" w:cs="Tahoma"/>
          <w:sz w:val="22"/>
          <w:lang w:val="el-GR"/>
        </w:rPr>
        <w:t xml:space="preserve">συνολικό </w:t>
      </w:r>
      <w:r w:rsidR="00A527F9" w:rsidRPr="009B7BD7">
        <w:rPr>
          <w:rFonts w:asciiTheme="majorHAnsi" w:hAnsiTheme="majorHAnsi" w:cs="Tahoma"/>
          <w:sz w:val="22"/>
        </w:rPr>
        <w:t>clawback</w:t>
      </w:r>
      <w:r w:rsidR="00A527F9" w:rsidRPr="009B7BD7">
        <w:rPr>
          <w:rFonts w:asciiTheme="majorHAnsi" w:hAnsiTheme="majorHAnsi" w:cs="Tahoma"/>
          <w:sz w:val="22"/>
          <w:lang w:val="el-GR"/>
        </w:rPr>
        <w:t xml:space="preserve"> </w:t>
      </w:r>
      <w:r w:rsidR="00A527F9">
        <w:rPr>
          <w:rFonts w:asciiTheme="majorHAnsi" w:hAnsiTheme="majorHAnsi" w:cs="Tahoma"/>
          <w:sz w:val="22"/>
          <w:lang w:val="el-GR"/>
        </w:rPr>
        <w:t xml:space="preserve">ύψους </w:t>
      </w:r>
      <w:r w:rsidR="008B4A13">
        <w:rPr>
          <w:rFonts w:asciiTheme="majorHAnsi" w:hAnsiTheme="majorHAnsi" w:cs="Tahoma"/>
          <w:sz w:val="22"/>
          <w:lang w:val="el-GR"/>
        </w:rPr>
        <w:t xml:space="preserve">περίπου </w:t>
      </w:r>
      <w:r w:rsidR="00B34871">
        <w:rPr>
          <w:rFonts w:asciiTheme="majorHAnsi" w:hAnsiTheme="majorHAnsi" w:cs="Tahoma"/>
          <w:sz w:val="22"/>
          <w:lang w:val="el-GR"/>
        </w:rPr>
        <w:t>90.000.000€, το οποίο θα μπορούσε να μειωθεί σε πολύ μεγάλο ποσοστό εάν έγκαιρα είχε υλοποιηθεί η πρόταση ανακοστολόγησης.</w:t>
      </w:r>
    </w:p>
    <w:p w14:paraId="57E32BE3" w14:textId="77777777" w:rsidR="008439DF" w:rsidRPr="006C5162" w:rsidRDefault="008439DF" w:rsidP="00827975">
      <w:pPr>
        <w:spacing w:before="120" w:after="120" w:line="360" w:lineRule="auto"/>
        <w:jc w:val="both"/>
        <w:rPr>
          <w:rFonts w:asciiTheme="majorHAnsi" w:hAnsiTheme="majorHAnsi" w:cs="Tahoma"/>
          <w:sz w:val="22"/>
          <w:lang w:val="el-GR"/>
        </w:rPr>
      </w:pPr>
    </w:p>
    <w:p w14:paraId="0119CC6D" w14:textId="0F7024DA" w:rsidR="007D4A4F" w:rsidRPr="00827975" w:rsidRDefault="007D4A4F" w:rsidP="00827975">
      <w:pPr>
        <w:pStyle w:val="a4"/>
        <w:spacing w:before="120" w:after="120" w:line="360" w:lineRule="auto"/>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Ανακοστολόγηση διαγνωστικών εξετάσεων</w:t>
      </w:r>
    </w:p>
    <w:p w14:paraId="07CB1C04" w14:textId="3B92D33F" w:rsidR="007D4A4F" w:rsidRDefault="007D4A4F" w:rsidP="00717225">
      <w:pPr>
        <w:spacing w:before="120" w:after="120" w:line="360" w:lineRule="auto"/>
        <w:jc w:val="both"/>
        <w:rPr>
          <w:rFonts w:asciiTheme="majorHAnsi" w:hAnsiTheme="majorHAnsi" w:cs="Tahoma"/>
          <w:sz w:val="22"/>
          <w:lang w:val="el-GR"/>
        </w:rPr>
      </w:pPr>
      <w:r w:rsidRPr="00827975">
        <w:rPr>
          <w:rFonts w:asciiTheme="majorHAnsi" w:hAnsiTheme="majorHAnsi" w:cs="Tahoma"/>
          <w:sz w:val="22"/>
          <w:lang w:val="el-GR"/>
        </w:rPr>
        <w:t>Πρόταση ανακοστολόγησης που αφορά σε 52 διαγνωστικές εξετάσεις από ένα σύνολο 1.792 εξετάσεων που αποζημιώνει ο ΕΟΠΥΥ, οι οποίες συνεισφέρουν περισσότερο από το 50% της προκαλούμενης δαπάνης.</w:t>
      </w:r>
      <w:r w:rsidR="00BF2C16">
        <w:rPr>
          <w:rFonts w:asciiTheme="majorHAnsi" w:hAnsiTheme="majorHAnsi" w:cs="Tahoma"/>
          <w:sz w:val="22"/>
          <w:lang w:val="el-GR"/>
        </w:rPr>
        <w:t xml:space="preserve"> </w:t>
      </w:r>
      <w:r w:rsidRPr="00827975">
        <w:rPr>
          <w:rFonts w:asciiTheme="majorHAnsi" w:hAnsiTheme="majorHAnsi" w:cs="Tahoma"/>
          <w:sz w:val="22"/>
          <w:lang w:val="el-GR"/>
        </w:rPr>
        <w:t>Το εκτιμώμενο όφελος, με αναγωγή στα στοιχεία του 2014, είναι περίπου 41.000.000 ευρώ ή 6,8% της συνολικής δαπάνης</w:t>
      </w:r>
      <w:r w:rsidRPr="00827975">
        <w:rPr>
          <w:rStyle w:val="a7"/>
          <w:rFonts w:asciiTheme="majorHAnsi" w:hAnsiTheme="majorHAnsi" w:cs="Tahoma"/>
          <w:sz w:val="22"/>
        </w:rPr>
        <w:footnoteReference w:id="14"/>
      </w:r>
      <w:r w:rsidR="00717225">
        <w:rPr>
          <w:rFonts w:asciiTheme="majorHAnsi" w:hAnsiTheme="majorHAnsi" w:cs="Tahoma"/>
          <w:sz w:val="22"/>
          <w:lang w:val="el-GR"/>
        </w:rPr>
        <w:t>.</w:t>
      </w:r>
    </w:p>
    <w:p w14:paraId="46624F97" w14:textId="77777777" w:rsidR="00717225" w:rsidRPr="00717225" w:rsidRDefault="00717225" w:rsidP="00717225">
      <w:pPr>
        <w:spacing w:before="120" w:after="120" w:line="360" w:lineRule="auto"/>
        <w:jc w:val="both"/>
        <w:rPr>
          <w:rFonts w:asciiTheme="majorHAnsi" w:hAnsiTheme="majorHAnsi" w:cs="Tahoma"/>
          <w:sz w:val="22"/>
          <w:lang w:val="el-GR"/>
        </w:rPr>
      </w:pPr>
    </w:p>
    <w:p w14:paraId="523A91D3" w14:textId="46712EF5" w:rsidR="007D4A4F" w:rsidRPr="00827975" w:rsidRDefault="008439DF" w:rsidP="00827975">
      <w:pPr>
        <w:pStyle w:val="a4"/>
        <w:spacing w:before="120" w:after="120" w:line="360" w:lineRule="auto"/>
        <w:jc w:val="both"/>
        <w:rPr>
          <w:rFonts w:asciiTheme="majorHAnsi" w:hAnsiTheme="majorHAnsi"/>
          <w:color w:val="365F91" w:themeColor="accent1" w:themeShade="BF"/>
          <w:sz w:val="22"/>
          <w:u w:val="single"/>
          <w:lang w:val="el-GR"/>
        </w:rPr>
      </w:pPr>
      <w:r>
        <w:rPr>
          <w:rFonts w:asciiTheme="majorHAnsi" w:hAnsiTheme="majorHAnsi"/>
          <w:color w:val="365F91" w:themeColor="accent1" w:themeShade="BF"/>
          <w:sz w:val="22"/>
          <w:u w:val="single"/>
          <w:lang w:val="el-GR"/>
        </w:rPr>
        <w:t>Σύστημα κλιμακωτ</w:t>
      </w:r>
      <w:r w:rsidR="007D4A4F" w:rsidRPr="00827975">
        <w:rPr>
          <w:rFonts w:asciiTheme="majorHAnsi" w:hAnsiTheme="majorHAnsi"/>
          <w:color w:val="365F91" w:themeColor="accent1" w:themeShade="BF"/>
          <w:sz w:val="22"/>
          <w:u w:val="single"/>
          <w:lang w:val="el-GR"/>
        </w:rPr>
        <w:t>ών εκπτώσεων διαγνωστικών εξετάσεων</w:t>
      </w:r>
    </w:p>
    <w:p w14:paraId="25B2B162" w14:textId="7B86AA0B" w:rsidR="007D4A4F" w:rsidRPr="00827975" w:rsidRDefault="007D4A4F" w:rsidP="00827975">
      <w:pPr>
        <w:spacing w:before="120" w:after="120" w:line="360" w:lineRule="auto"/>
        <w:jc w:val="both"/>
        <w:rPr>
          <w:rFonts w:asciiTheme="majorHAnsi" w:hAnsiTheme="majorHAnsi" w:cs="Tahoma"/>
          <w:sz w:val="22"/>
          <w:lang w:val="el-GR"/>
        </w:rPr>
      </w:pPr>
      <w:r w:rsidRPr="00827975">
        <w:rPr>
          <w:rFonts w:asciiTheme="majorHAnsi" w:hAnsiTheme="majorHAnsi" w:cs="Tahoma"/>
          <w:sz w:val="22"/>
          <w:lang w:val="el-GR"/>
        </w:rPr>
        <w:t xml:space="preserve">Πρόταση κλιμακωτών εκπτώσεων για 6 κύριες κατηγορίες διαγνωστικών εξετάσεων (Μαγνητικές τομογραφίες, μέτρηση οστικής πυκνότητας, αξονικές τομογραφίες, σπινθηρογραφήματα, υπέρηχοι και εξετάσεις αίματος), σε σχέση με το εκτελούμενο πλήθος εξετάσεων, δηλαδή όσο αυξάνεται το πλήθος των εκτελούμενων εξετάσεων αυξάνει και η </w:t>
      </w:r>
      <w:r w:rsidRPr="00827975">
        <w:rPr>
          <w:rFonts w:asciiTheme="majorHAnsi" w:hAnsiTheme="majorHAnsi" w:cs="Tahoma"/>
          <w:sz w:val="22"/>
          <w:lang w:val="el-GR"/>
        </w:rPr>
        <w:lastRenderedPageBreak/>
        <w:t>έκπτωση επί της υποβαλλόμενης δαπάνης του παρόχου. Εκτιμάται μείωση της δαπάνης κατά 121.000.000 ευρώ, με αναγωγή στο 2014 ή 20,13% της συνολικής δαπάνης</w:t>
      </w:r>
      <w:r w:rsidRPr="00827975">
        <w:rPr>
          <w:rStyle w:val="a7"/>
          <w:rFonts w:asciiTheme="majorHAnsi" w:hAnsiTheme="majorHAnsi" w:cs="Tahoma"/>
          <w:sz w:val="22"/>
          <w:lang w:val="el-GR"/>
        </w:rPr>
        <w:t>1</w:t>
      </w:r>
      <w:r w:rsidRPr="00827975">
        <w:rPr>
          <w:rFonts w:asciiTheme="majorHAnsi" w:hAnsiTheme="majorHAnsi" w:cs="Tahoma"/>
          <w:sz w:val="22"/>
          <w:lang w:val="el-GR"/>
        </w:rPr>
        <w:t>.</w:t>
      </w:r>
    </w:p>
    <w:p w14:paraId="534BC2F5" w14:textId="77777777" w:rsidR="007D4A4F" w:rsidRPr="00827975" w:rsidRDefault="007D4A4F" w:rsidP="00827975">
      <w:pPr>
        <w:spacing w:before="120" w:after="120" w:line="360" w:lineRule="auto"/>
        <w:jc w:val="both"/>
        <w:rPr>
          <w:rFonts w:asciiTheme="majorHAnsi" w:hAnsiTheme="majorHAnsi" w:cs="Tahoma"/>
          <w:b/>
          <w:color w:val="E36C0A" w:themeColor="accent6" w:themeShade="BF"/>
          <w:sz w:val="22"/>
          <w:lang w:val="el-GR"/>
        </w:rPr>
      </w:pPr>
    </w:p>
    <w:p w14:paraId="41B20A7B" w14:textId="76A215C7" w:rsidR="00BC70BF" w:rsidRPr="00827975" w:rsidRDefault="007D4A4F" w:rsidP="00827975">
      <w:pPr>
        <w:spacing w:before="120" w:after="120" w:line="360" w:lineRule="auto"/>
        <w:ind w:right="34"/>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Κατάργηση</w:t>
      </w:r>
      <w:r w:rsidR="00BC70BF" w:rsidRPr="00827975">
        <w:rPr>
          <w:rFonts w:asciiTheme="majorHAnsi" w:hAnsiTheme="majorHAnsi"/>
          <w:color w:val="365F91" w:themeColor="accent1" w:themeShade="BF"/>
          <w:sz w:val="22"/>
          <w:u w:val="single"/>
          <w:lang w:val="el-GR"/>
        </w:rPr>
        <w:t xml:space="preserve"> διαγνωστικών εξετάσεων και θεραπευτικών πράξεων </w:t>
      </w:r>
    </w:p>
    <w:p w14:paraId="13630A7F" w14:textId="09C9FC3D" w:rsidR="00BC70BF" w:rsidRDefault="00BC70BF" w:rsidP="0071722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Ο ΕΟΠΥΥ σε συνεργα</w:t>
      </w:r>
      <w:r w:rsidR="00711E28" w:rsidRPr="00827975">
        <w:rPr>
          <w:rFonts w:asciiTheme="majorHAnsi" w:hAnsiTheme="majorHAnsi"/>
          <w:sz w:val="22"/>
          <w:lang w:val="el-GR"/>
        </w:rPr>
        <w:t>σία με τις επιστημονικές εταιρε</w:t>
      </w:r>
      <w:r w:rsidR="00916506">
        <w:rPr>
          <w:rFonts w:asciiTheme="majorHAnsi" w:hAnsiTheme="majorHAnsi"/>
          <w:sz w:val="22"/>
          <w:lang w:val="el-GR"/>
        </w:rPr>
        <w:t>ίες</w:t>
      </w:r>
      <w:r w:rsidRPr="00827975">
        <w:rPr>
          <w:rFonts w:asciiTheme="majorHAnsi" w:hAnsiTheme="majorHAnsi"/>
          <w:sz w:val="22"/>
          <w:lang w:val="el-GR"/>
        </w:rPr>
        <w:t xml:space="preserve"> των αντίστοιχων ειδικοτήτων, δια μέσου του Πανελληνίου Ιατρικού Συλλόγου, προχώρησε στον εξορθολογισμό του συστήματος αποζημίωσης των διαγνωστικών εξετάσεων και ιατρικών πράξεων, καθώς προέβη στην  απενεργοποίηση από το σύστημα ηλεκτρονικής συνταγογράφησης συγκεκριμένων κωδικών εξετάσεων, για τις οποίες έχουν παρατηρηθεί φαινόμενα τα οποία αφορούν σε διπλές καταχωρήσεις της ίδιας εξέτασης,  εξετάσεις οι οποίες είναι παρωχημένες και δεν χρησιμοποιούνται στη σύγχρονη ιατρική πράξη, περιλαμβάνονται σε άλλες εξετάσεις ή στην ιατρική επίσκεψη και κατά συνέπει</w:t>
      </w:r>
      <w:r w:rsidR="00717225">
        <w:rPr>
          <w:rFonts w:asciiTheme="majorHAnsi" w:hAnsiTheme="majorHAnsi"/>
          <w:sz w:val="22"/>
          <w:lang w:val="el-GR"/>
        </w:rPr>
        <w:t>α δεν τιμολογούνται μεμονωμένα.</w:t>
      </w:r>
    </w:p>
    <w:p w14:paraId="07B0B9C7" w14:textId="77777777" w:rsidR="00717225" w:rsidRPr="00827975" w:rsidRDefault="00717225" w:rsidP="00717225">
      <w:pPr>
        <w:pStyle w:val="a4"/>
        <w:spacing w:before="120" w:after="120" w:line="360" w:lineRule="auto"/>
        <w:jc w:val="both"/>
        <w:rPr>
          <w:rFonts w:asciiTheme="majorHAnsi" w:hAnsiTheme="majorHAnsi"/>
          <w:sz w:val="22"/>
          <w:lang w:val="el-GR"/>
        </w:rPr>
      </w:pPr>
    </w:p>
    <w:p w14:paraId="59966AF3" w14:textId="665B7A13" w:rsidR="00BC70BF" w:rsidRPr="00827975" w:rsidRDefault="007D4A4F" w:rsidP="00827975">
      <w:pPr>
        <w:pStyle w:val="a4"/>
        <w:spacing w:before="120" w:after="120" w:line="360" w:lineRule="auto"/>
        <w:ind w:right="-11"/>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Σύστημα</w:t>
      </w:r>
      <w:r w:rsidR="00BC70BF" w:rsidRPr="00827975">
        <w:rPr>
          <w:rFonts w:asciiTheme="majorHAnsi" w:hAnsiTheme="majorHAnsi"/>
          <w:color w:val="365F91" w:themeColor="accent1" w:themeShade="BF"/>
          <w:sz w:val="22"/>
          <w:u w:val="single"/>
          <w:lang w:val="el-GR"/>
        </w:rPr>
        <w:t xml:space="preserve"> ενδείξεων διαγνωστικών εξετάσεων βάσει διεθνών κατευθυντήριων οδηγιών</w:t>
      </w:r>
    </w:p>
    <w:p w14:paraId="7F095488" w14:textId="0F0BDF4B" w:rsidR="00DF29E9" w:rsidRPr="00827975" w:rsidRDefault="00BC70BF"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Μετά από διαβούλευση με τους ιατρικούς συλλόγους, ο ΕΟΠΥΥ σε συνεργασία με το Υπουργείο </w:t>
      </w:r>
      <w:r w:rsidR="008439DF">
        <w:rPr>
          <w:rFonts w:asciiTheme="majorHAnsi" w:hAnsiTheme="majorHAnsi"/>
          <w:sz w:val="22"/>
          <w:lang w:val="el-GR"/>
        </w:rPr>
        <w:t>Υγείας υιοθέτησε 30 Πρωτόκολλα διαγνωστικών ε</w:t>
      </w:r>
      <w:r w:rsidRPr="00827975">
        <w:rPr>
          <w:rFonts w:asciiTheme="majorHAnsi" w:hAnsiTheme="majorHAnsi"/>
          <w:sz w:val="22"/>
          <w:lang w:val="el-GR"/>
        </w:rPr>
        <w:t>ξετάσεων με σκοπό τον εξορθολογισμό του συστήματος αποζημίωσης των διαγνωστικών εξετάσεων και ιατρικών πράξεων.</w:t>
      </w:r>
    </w:p>
    <w:p w14:paraId="420EDEFA" w14:textId="77777777" w:rsidR="007D4A4F" w:rsidRPr="00827975" w:rsidRDefault="007D4A4F" w:rsidP="00827975">
      <w:pPr>
        <w:pStyle w:val="a4"/>
        <w:spacing w:before="120" w:after="120" w:line="360" w:lineRule="auto"/>
        <w:jc w:val="both"/>
        <w:rPr>
          <w:rFonts w:asciiTheme="majorHAnsi" w:hAnsiTheme="majorHAnsi"/>
          <w:sz w:val="22"/>
          <w:lang w:val="el-GR"/>
        </w:rPr>
      </w:pPr>
    </w:p>
    <w:p w14:paraId="046C2021" w14:textId="74715C34" w:rsidR="007D4A4F" w:rsidRPr="00827975" w:rsidRDefault="007D4A4F" w:rsidP="00827975">
      <w:pPr>
        <w:pStyle w:val="a4"/>
        <w:spacing w:before="120" w:after="120" w:line="360" w:lineRule="auto"/>
        <w:ind w:right="-11"/>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Αντιστοίχιση ιατρικής ειδικότητας και δικαιώματος παραπομπής για διαγνωστικές εξετάσεις</w:t>
      </w:r>
    </w:p>
    <w:p w14:paraId="180FB8FC" w14:textId="0AB9C326" w:rsidR="007D4A4F" w:rsidRPr="00827975" w:rsidRDefault="007D4A4F" w:rsidP="00827975">
      <w:pPr>
        <w:spacing w:before="120" w:after="120" w:line="360" w:lineRule="auto"/>
        <w:jc w:val="both"/>
        <w:rPr>
          <w:rFonts w:asciiTheme="majorHAnsi" w:hAnsiTheme="majorHAnsi" w:cs="Tahoma"/>
          <w:sz w:val="22"/>
          <w:lang w:val="el-GR"/>
        </w:rPr>
      </w:pPr>
      <w:r w:rsidRPr="00827975">
        <w:rPr>
          <w:rFonts w:asciiTheme="majorHAnsi" w:hAnsiTheme="majorHAnsi" w:cs="Tahoma"/>
          <w:sz w:val="22"/>
          <w:lang w:val="el-GR"/>
        </w:rPr>
        <w:t>Αφαίρεση της δυνατότητας των εργαστηριακών ιατρικών ειδικοτήτων (βιοπαθολόγοι, ακτινοδιαγνώστες, κυτταρολόγοι, παθολογοανατόμοι) να παραπέμπουν για διαγνωστικές εξετάσεις. Αποκλεισμός των ιατρών άνευ ειδικότητας από το να παραπέμπουν για συγκεκριμένες διαγνωστικές εξετάσεις. Πλήρης αποκλεισμός από την ηλεκτρονική παραπομπή εξετάσεων οι οποίες δεν σχετίζονται με την ιατρική ειδικότητα. Αριθμητικός περιορισμός των αποζημιούμενων από τον ΕΟΠΥΥ εξετάσεων για τις οποίες μπορεί να παραπέμψει μία ιατρική ειδικότητα ανά ασφαλισμένο και για συγκεκριμένο αριθμό ημερών (μέχρι 4ημέρες).</w:t>
      </w:r>
    </w:p>
    <w:p w14:paraId="26D3AE33" w14:textId="77777777" w:rsidR="009B7BD7" w:rsidRDefault="009B7BD7">
      <w:pPr>
        <w:rPr>
          <w:rFonts w:asciiTheme="majorHAnsi" w:hAnsiTheme="majorHAnsi"/>
          <w:color w:val="365F91" w:themeColor="accent1" w:themeShade="BF"/>
          <w:sz w:val="22"/>
          <w:u w:val="single"/>
          <w:lang w:val="el-GR"/>
        </w:rPr>
      </w:pPr>
    </w:p>
    <w:p w14:paraId="44E541E2" w14:textId="4F60E47C" w:rsidR="00F046B0" w:rsidRPr="009B7BD7" w:rsidRDefault="00F046B0" w:rsidP="009B7BD7">
      <w:pPr>
        <w:spacing w:before="120" w:after="120" w:line="360" w:lineRule="auto"/>
        <w:rPr>
          <w:rFonts w:asciiTheme="majorHAnsi" w:hAnsiTheme="majorHAnsi"/>
          <w:color w:val="365F91" w:themeColor="accent1" w:themeShade="BF"/>
          <w:sz w:val="22"/>
          <w:u w:val="single"/>
          <w:lang w:val="el-GR"/>
        </w:rPr>
      </w:pPr>
      <w:r w:rsidRPr="009B7BD7">
        <w:rPr>
          <w:rFonts w:asciiTheme="majorHAnsi" w:hAnsiTheme="majorHAnsi"/>
          <w:color w:val="365F91" w:themeColor="accent1" w:themeShade="BF"/>
          <w:sz w:val="22"/>
          <w:u w:val="single"/>
          <w:lang w:val="el-GR"/>
        </w:rPr>
        <w:br w:type="page"/>
      </w:r>
    </w:p>
    <w:p w14:paraId="532A594A" w14:textId="77777777" w:rsidR="00F046B0" w:rsidRDefault="00F046B0" w:rsidP="00F046B0">
      <w:pPr>
        <w:rPr>
          <w:rFonts w:asciiTheme="majorHAnsi" w:hAnsiTheme="majorHAnsi"/>
          <w:color w:val="365F91" w:themeColor="accent1" w:themeShade="BF"/>
          <w:sz w:val="22"/>
          <w:u w:val="single"/>
          <w:lang w:val="el-GR"/>
        </w:rPr>
      </w:pPr>
    </w:p>
    <w:p w14:paraId="450DD3AB" w14:textId="0D579A0F" w:rsidR="00F046B0" w:rsidRPr="00827975" w:rsidRDefault="00F046B0" w:rsidP="00F046B0">
      <w:pPr>
        <w:shd w:val="clear" w:color="auto" w:fill="DBE5F1" w:themeFill="accent1" w:themeFillTint="33"/>
        <w:spacing w:before="120" w:after="120" w:line="360" w:lineRule="auto"/>
        <w:rPr>
          <w:rFonts w:asciiTheme="majorHAnsi" w:hAnsiTheme="majorHAnsi" w:cs="Tahoma"/>
          <w:b/>
          <w:color w:val="E36C0A" w:themeColor="accent6" w:themeShade="BF"/>
          <w:sz w:val="22"/>
          <w:lang w:val="el-GR"/>
        </w:rPr>
      </w:pPr>
      <w:r w:rsidRPr="00827975">
        <w:rPr>
          <w:rFonts w:asciiTheme="majorHAnsi" w:hAnsiTheme="majorHAnsi" w:cs="Tahoma"/>
          <w:b/>
          <w:color w:val="E36C0A" w:themeColor="accent6" w:themeShade="BF"/>
          <w:sz w:val="22"/>
          <w:lang w:val="el-GR"/>
        </w:rPr>
        <w:t xml:space="preserve">Διαχείριση </w:t>
      </w:r>
      <w:r>
        <w:rPr>
          <w:rFonts w:asciiTheme="majorHAnsi" w:hAnsiTheme="majorHAnsi" w:cs="Tahoma"/>
          <w:b/>
          <w:color w:val="E36C0A" w:themeColor="accent6" w:themeShade="BF"/>
          <w:sz w:val="22"/>
          <w:lang w:val="el-GR"/>
        </w:rPr>
        <w:t>ιατροτεχνολογικών προϊόντων</w:t>
      </w:r>
      <w:r w:rsidRPr="00827975">
        <w:rPr>
          <w:rFonts w:asciiTheme="majorHAnsi" w:hAnsiTheme="majorHAnsi" w:cs="Tahoma"/>
          <w:b/>
          <w:color w:val="E36C0A" w:themeColor="accent6" w:themeShade="BF"/>
          <w:sz w:val="22"/>
          <w:lang w:val="el-GR"/>
        </w:rPr>
        <w:t xml:space="preserve"> </w:t>
      </w:r>
    </w:p>
    <w:p w14:paraId="2A1D673A" w14:textId="77777777" w:rsidR="00F046B0" w:rsidRDefault="00F046B0" w:rsidP="00827975">
      <w:pPr>
        <w:pStyle w:val="a4"/>
        <w:spacing w:before="120" w:after="120" w:line="360" w:lineRule="auto"/>
        <w:ind w:right="-11"/>
        <w:jc w:val="both"/>
        <w:rPr>
          <w:rFonts w:asciiTheme="majorHAnsi" w:hAnsiTheme="majorHAnsi"/>
          <w:color w:val="365F91" w:themeColor="accent1" w:themeShade="BF"/>
          <w:sz w:val="22"/>
          <w:u w:val="single"/>
          <w:lang w:val="el-GR"/>
        </w:rPr>
      </w:pPr>
    </w:p>
    <w:p w14:paraId="39378819" w14:textId="5920E13A" w:rsidR="000F1DB1" w:rsidRPr="00827975" w:rsidRDefault="000F1DB1" w:rsidP="00827975">
      <w:pPr>
        <w:pStyle w:val="a4"/>
        <w:spacing w:before="120" w:after="120" w:line="360" w:lineRule="auto"/>
        <w:ind w:right="-11"/>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Αντιστοίχιση ιατρικής ειδικότητας για τη συνταγογράφηση ιατροτεχνολογικών προϊόντων</w:t>
      </w:r>
    </w:p>
    <w:p w14:paraId="226CF190" w14:textId="77777777" w:rsidR="000F1DB1" w:rsidRPr="00827975" w:rsidRDefault="000F1DB1"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Σε συνεργασία με τον ΠΙΣ, καθορίστηκαν οι ιατρικές ειδικότητες που δύνανται να συνταγογραφούν ιατροτεχνολογικά προϊόντα με ταυτόχρονη πιστοποίηση των συνταγογραφούντων ιατρών.</w:t>
      </w:r>
    </w:p>
    <w:p w14:paraId="487BE9EB" w14:textId="77777777" w:rsidR="000F1DB1" w:rsidRPr="00827975" w:rsidRDefault="000F1DB1" w:rsidP="00827975">
      <w:pPr>
        <w:pStyle w:val="a4"/>
        <w:spacing w:before="120" w:after="120" w:line="360" w:lineRule="auto"/>
        <w:jc w:val="both"/>
        <w:rPr>
          <w:rFonts w:asciiTheme="majorHAnsi" w:hAnsiTheme="majorHAnsi"/>
          <w:sz w:val="22"/>
          <w:lang w:val="el-GR"/>
        </w:rPr>
      </w:pPr>
    </w:p>
    <w:p w14:paraId="54C9B695" w14:textId="77777777" w:rsidR="000F1DB1" w:rsidRPr="00827975" w:rsidRDefault="000F1DB1" w:rsidP="00827975">
      <w:pPr>
        <w:pStyle w:val="a4"/>
        <w:spacing w:before="120" w:after="120" w:line="360" w:lineRule="auto"/>
        <w:ind w:right="-11"/>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Σύνδεση συνταγογράφησης με τον κλινικό έλεγχο</w:t>
      </w:r>
    </w:p>
    <w:p w14:paraId="7B648CB9" w14:textId="27A326B7" w:rsidR="00827975" w:rsidRPr="00CA7FE2" w:rsidRDefault="000F1DB1" w:rsidP="00CA7FE2">
      <w:pPr>
        <w:spacing w:before="120" w:after="120" w:line="360" w:lineRule="auto"/>
        <w:jc w:val="both"/>
        <w:rPr>
          <w:rFonts w:asciiTheme="majorHAnsi" w:hAnsiTheme="majorHAnsi" w:cs="Tahoma"/>
          <w:sz w:val="22"/>
          <w:lang w:val="el-GR"/>
        </w:rPr>
      </w:pPr>
      <w:r w:rsidRPr="00827975">
        <w:rPr>
          <w:rFonts w:asciiTheme="majorHAnsi" w:hAnsiTheme="majorHAnsi" w:cs="Tahoma"/>
          <w:sz w:val="22"/>
          <w:lang w:val="el-GR"/>
        </w:rPr>
        <w:t>Αναπτύχθηκε</w:t>
      </w:r>
      <w:r w:rsidRPr="00827975">
        <w:rPr>
          <w:rFonts w:asciiTheme="majorHAnsi" w:hAnsiTheme="majorHAnsi" w:cs="Tahoma"/>
          <w:color w:val="E36C0A" w:themeColor="accent6" w:themeShade="BF"/>
          <w:sz w:val="22"/>
          <w:lang w:val="el-GR"/>
        </w:rPr>
        <w:t xml:space="preserve"> </w:t>
      </w:r>
      <w:r w:rsidRPr="00827975">
        <w:rPr>
          <w:rFonts w:asciiTheme="majorHAnsi" w:hAnsiTheme="majorHAnsi" w:cs="Tahoma"/>
          <w:sz w:val="22"/>
          <w:lang w:val="el-GR"/>
        </w:rPr>
        <w:t xml:space="preserve">στο σύστημα της ηλεκτρονικής συνταγογράφησης του ΕΟΠΥΥ ειδική πλατφόρμα η οποία θέτει ως προαπαιτούμενο της συνταγογράφησης συγκεκριμένων παροχών, όπως πχ επιθεμάτων, την επισύναψη εικόνας της </w:t>
      </w:r>
      <w:r w:rsidR="00766465">
        <w:rPr>
          <w:rFonts w:asciiTheme="majorHAnsi" w:hAnsiTheme="majorHAnsi" w:cs="Tahoma"/>
          <w:sz w:val="22"/>
          <w:lang w:val="el-GR"/>
        </w:rPr>
        <w:t>κλινικής κατάστασης του ασθενή.</w:t>
      </w:r>
      <w:r w:rsidRPr="00827975">
        <w:rPr>
          <w:rFonts w:asciiTheme="majorHAnsi" w:hAnsiTheme="majorHAnsi" w:cs="Tahoma"/>
          <w:sz w:val="22"/>
          <w:lang w:val="el-GR"/>
        </w:rPr>
        <w:t xml:space="preserve"> Σε συνεργασία </w:t>
      </w:r>
      <w:r w:rsidR="00300F5C">
        <w:rPr>
          <w:rFonts w:asciiTheme="majorHAnsi" w:hAnsiTheme="majorHAnsi" w:cs="Tahoma"/>
          <w:sz w:val="22"/>
          <w:lang w:val="el-GR"/>
        </w:rPr>
        <w:t>με το ΕΚΑΠΤΥ πιστοποιήθηκαν οι ε</w:t>
      </w:r>
      <w:r w:rsidRPr="00827975">
        <w:rPr>
          <w:rFonts w:asciiTheme="majorHAnsi" w:hAnsiTheme="majorHAnsi" w:cs="Tahoma"/>
          <w:sz w:val="22"/>
          <w:lang w:val="el-GR"/>
        </w:rPr>
        <w:t xml:space="preserve">ταιρείες και κατηγοριοποιήθηκαν τα ιατροτεχνολογικά </w:t>
      </w:r>
      <w:r w:rsidRPr="00CA7FE2">
        <w:rPr>
          <w:rFonts w:asciiTheme="majorHAnsi" w:hAnsiTheme="majorHAnsi" w:cs="Tahoma"/>
          <w:sz w:val="22"/>
          <w:lang w:val="el-GR"/>
        </w:rPr>
        <w:t xml:space="preserve">προϊόντα τους, που αφορούν τα επιθέματα προκειμένου </w:t>
      </w:r>
      <w:r w:rsidR="00CA7FE2" w:rsidRPr="00CA7FE2">
        <w:rPr>
          <w:rFonts w:asciiTheme="majorHAnsi" w:hAnsiTheme="majorHAnsi" w:cs="Tahoma"/>
          <w:sz w:val="22"/>
          <w:lang w:val="el-GR"/>
        </w:rPr>
        <w:t>να ενταχθούν στο σύστημα της ηλεκτρονικής συνταγογράφησης, με έναρξη εφαρμογής από 15 Ιουλίου 2015</w:t>
      </w:r>
      <w:r w:rsidR="00827975" w:rsidRPr="00CA7FE2">
        <w:rPr>
          <w:rFonts w:asciiTheme="majorHAnsi" w:hAnsiTheme="majorHAnsi" w:cs="Tahoma"/>
          <w:sz w:val="22"/>
          <w:lang w:val="el-GR"/>
        </w:rPr>
        <w:t>.</w:t>
      </w:r>
    </w:p>
    <w:p w14:paraId="75A92DDF" w14:textId="77777777" w:rsidR="00F046B0" w:rsidRPr="00CA7FE2" w:rsidRDefault="00F046B0" w:rsidP="00CA7FE2">
      <w:pPr>
        <w:spacing w:before="120" w:after="120" w:line="360" w:lineRule="auto"/>
        <w:rPr>
          <w:rFonts w:asciiTheme="majorHAnsi" w:hAnsiTheme="majorHAnsi" w:cs="Tahoma"/>
          <w:sz w:val="22"/>
          <w:lang w:val="el-GR"/>
        </w:rPr>
      </w:pPr>
    </w:p>
    <w:p w14:paraId="75185403" w14:textId="54878683" w:rsidR="00300F5C" w:rsidRPr="00CA7FE2" w:rsidRDefault="00CA7FE2" w:rsidP="00CA7FE2">
      <w:pPr>
        <w:spacing w:before="120" w:after="120" w:line="360" w:lineRule="auto"/>
        <w:rPr>
          <w:rFonts w:asciiTheme="majorHAnsi" w:hAnsiTheme="majorHAnsi"/>
          <w:sz w:val="22"/>
          <w:lang w:val="el-GR"/>
        </w:rPr>
      </w:pPr>
      <w:r w:rsidRPr="00CA7FE2">
        <w:rPr>
          <w:rFonts w:asciiTheme="majorHAnsi" w:hAnsiTheme="majorHAnsi"/>
          <w:b/>
          <w:sz w:val="22"/>
          <w:lang w:val="el-GR"/>
        </w:rPr>
        <w:t>Πίνακας 6. Ηλεκτρονική συνταγογράφηση επιθεμάτων</w:t>
      </w:r>
    </w:p>
    <w:tbl>
      <w:tblPr>
        <w:tblStyle w:val="a6"/>
        <w:tblW w:w="6729" w:type="dxa"/>
        <w:jc w:val="center"/>
        <w:tblInd w:w="-934" w:type="dxa"/>
        <w:tblLook w:val="04A0" w:firstRow="1" w:lastRow="0" w:firstColumn="1" w:lastColumn="0" w:noHBand="0" w:noVBand="1"/>
      </w:tblPr>
      <w:tblGrid>
        <w:gridCol w:w="1517"/>
        <w:gridCol w:w="1559"/>
        <w:gridCol w:w="2133"/>
        <w:gridCol w:w="1520"/>
      </w:tblGrid>
      <w:tr w:rsidR="00300F5C" w:rsidRPr="00CA7FE2" w14:paraId="7C91610A" w14:textId="77777777" w:rsidTr="00CA7FE2">
        <w:trPr>
          <w:trHeight w:val="301"/>
          <w:jc w:val="center"/>
        </w:trPr>
        <w:tc>
          <w:tcPr>
            <w:tcW w:w="1517" w:type="dxa"/>
            <w:noWrap/>
            <w:hideMark/>
          </w:tcPr>
          <w:p w14:paraId="415BF6FE" w14:textId="0DB7014C" w:rsidR="00300F5C" w:rsidRPr="00CA7FE2" w:rsidRDefault="00300F5C" w:rsidP="00CA7FE2">
            <w:pPr>
              <w:jc w:val="center"/>
              <w:rPr>
                <w:rFonts w:asciiTheme="majorHAnsi" w:eastAsia="Times New Roman" w:hAnsiTheme="majorHAnsi" w:cs="Arial"/>
                <w:b/>
                <w:color w:val="000000"/>
                <w:szCs w:val="20"/>
                <w:lang w:eastAsia="el-GR"/>
              </w:rPr>
            </w:pPr>
            <w:r w:rsidRPr="00CA7FE2">
              <w:rPr>
                <w:rFonts w:asciiTheme="majorHAnsi" w:eastAsia="Times New Roman" w:hAnsiTheme="majorHAnsi" w:cs="Arial"/>
                <w:b/>
                <w:color w:val="000000"/>
                <w:szCs w:val="20"/>
                <w:lang w:eastAsia="el-GR"/>
              </w:rPr>
              <w:t>ΕΠΙΘΕΜΑΤΑ</w:t>
            </w:r>
          </w:p>
        </w:tc>
        <w:tc>
          <w:tcPr>
            <w:tcW w:w="1559" w:type="dxa"/>
            <w:noWrap/>
            <w:hideMark/>
          </w:tcPr>
          <w:p w14:paraId="001F4A84" w14:textId="77777777" w:rsidR="00300F5C" w:rsidRPr="00CA7FE2" w:rsidRDefault="00300F5C" w:rsidP="00CA7FE2">
            <w:pPr>
              <w:jc w:val="center"/>
              <w:rPr>
                <w:rFonts w:asciiTheme="majorHAnsi" w:eastAsia="Times New Roman" w:hAnsiTheme="majorHAnsi" w:cs="Arial"/>
                <w:b/>
                <w:bCs/>
                <w:color w:val="000000"/>
                <w:szCs w:val="20"/>
                <w:lang w:eastAsia="el-GR"/>
              </w:rPr>
            </w:pPr>
            <w:r w:rsidRPr="00CA7FE2">
              <w:rPr>
                <w:rFonts w:asciiTheme="majorHAnsi" w:eastAsia="Times New Roman" w:hAnsiTheme="majorHAnsi" w:cs="Arial"/>
                <w:b/>
                <w:bCs/>
                <w:color w:val="000000"/>
                <w:szCs w:val="20"/>
                <w:lang w:eastAsia="el-GR"/>
              </w:rPr>
              <w:t>ΑΠΟΦΑΣΕΙΣ</w:t>
            </w:r>
          </w:p>
        </w:tc>
        <w:tc>
          <w:tcPr>
            <w:tcW w:w="2133" w:type="dxa"/>
            <w:hideMark/>
          </w:tcPr>
          <w:p w14:paraId="4B7A4E11" w14:textId="77777777" w:rsidR="00300F5C" w:rsidRPr="00CA7FE2" w:rsidRDefault="00300F5C" w:rsidP="00CA7FE2">
            <w:pPr>
              <w:jc w:val="center"/>
              <w:rPr>
                <w:rFonts w:asciiTheme="majorHAnsi" w:eastAsia="Times New Roman" w:hAnsiTheme="majorHAnsi" w:cs="Arial"/>
                <w:b/>
                <w:bCs/>
                <w:color w:val="000000"/>
                <w:szCs w:val="20"/>
                <w:lang w:eastAsia="el-GR"/>
              </w:rPr>
            </w:pPr>
            <w:r w:rsidRPr="00CA7FE2">
              <w:rPr>
                <w:rFonts w:asciiTheme="majorHAnsi" w:eastAsia="Times New Roman" w:hAnsiTheme="majorHAnsi" w:cs="Arial"/>
                <w:b/>
                <w:bCs/>
                <w:color w:val="000000"/>
                <w:szCs w:val="20"/>
                <w:lang w:eastAsia="el-GR"/>
              </w:rPr>
              <w:t>ΕΚΚΡΕΜΕΙΣ ΑΙΤΗΣΕΙΣ</w:t>
            </w:r>
          </w:p>
        </w:tc>
        <w:tc>
          <w:tcPr>
            <w:tcW w:w="1520" w:type="dxa"/>
            <w:noWrap/>
            <w:hideMark/>
          </w:tcPr>
          <w:p w14:paraId="2E11D126" w14:textId="77777777" w:rsidR="00300F5C" w:rsidRPr="00CA7FE2" w:rsidRDefault="00300F5C" w:rsidP="00CA7FE2">
            <w:pPr>
              <w:jc w:val="center"/>
              <w:rPr>
                <w:rFonts w:asciiTheme="majorHAnsi" w:eastAsia="Times New Roman" w:hAnsiTheme="majorHAnsi" w:cs="Arial"/>
                <w:b/>
                <w:bCs/>
                <w:color w:val="000000"/>
                <w:szCs w:val="20"/>
                <w:lang w:eastAsia="el-GR"/>
              </w:rPr>
            </w:pPr>
            <w:r w:rsidRPr="00CA7FE2">
              <w:rPr>
                <w:rFonts w:asciiTheme="majorHAnsi" w:eastAsia="Times New Roman" w:hAnsiTheme="majorHAnsi" w:cs="Arial"/>
                <w:b/>
                <w:bCs/>
                <w:color w:val="000000"/>
                <w:szCs w:val="20"/>
                <w:lang w:eastAsia="el-GR"/>
              </w:rPr>
              <w:t>ΣΥΝΟΛΟ</w:t>
            </w:r>
          </w:p>
        </w:tc>
      </w:tr>
      <w:tr w:rsidR="00300F5C" w:rsidRPr="00CA7FE2" w14:paraId="45863853" w14:textId="77777777" w:rsidTr="00CA7FE2">
        <w:trPr>
          <w:trHeight w:val="255"/>
          <w:jc w:val="center"/>
        </w:trPr>
        <w:tc>
          <w:tcPr>
            <w:tcW w:w="1517" w:type="dxa"/>
            <w:shd w:val="clear" w:color="auto" w:fill="D9D9D9" w:themeFill="background1" w:themeFillShade="D9"/>
            <w:noWrap/>
            <w:hideMark/>
          </w:tcPr>
          <w:p w14:paraId="7044AC59"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2014/07</w:t>
            </w:r>
          </w:p>
        </w:tc>
        <w:tc>
          <w:tcPr>
            <w:tcW w:w="1559" w:type="dxa"/>
            <w:shd w:val="clear" w:color="auto" w:fill="D9D9D9" w:themeFill="background1" w:themeFillShade="D9"/>
            <w:noWrap/>
            <w:hideMark/>
          </w:tcPr>
          <w:p w14:paraId="1594CBF2"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5.237.686</w:t>
            </w:r>
          </w:p>
        </w:tc>
        <w:tc>
          <w:tcPr>
            <w:tcW w:w="2133" w:type="dxa"/>
            <w:shd w:val="clear" w:color="auto" w:fill="D9D9D9" w:themeFill="background1" w:themeFillShade="D9"/>
            <w:noWrap/>
            <w:hideMark/>
          </w:tcPr>
          <w:p w14:paraId="0860AEE7"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24.673</w:t>
            </w:r>
          </w:p>
        </w:tc>
        <w:tc>
          <w:tcPr>
            <w:tcW w:w="1520" w:type="dxa"/>
            <w:shd w:val="clear" w:color="auto" w:fill="D9D9D9" w:themeFill="background1" w:themeFillShade="D9"/>
            <w:noWrap/>
            <w:hideMark/>
          </w:tcPr>
          <w:p w14:paraId="002278F0"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5.262.359</w:t>
            </w:r>
          </w:p>
        </w:tc>
      </w:tr>
      <w:tr w:rsidR="00300F5C" w:rsidRPr="00CA7FE2" w14:paraId="3F449A3B" w14:textId="77777777" w:rsidTr="00CA7FE2">
        <w:trPr>
          <w:trHeight w:val="255"/>
          <w:jc w:val="center"/>
        </w:trPr>
        <w:tc>
          <w:tcPr>
            <w:tcW w:w="1517" w:type="dxa"/>
            <w:shd w:val="clear" w:color="auto" w:fill="D9D9D9" w:themeFill="background1" w:themeFillShade="D9"/>
            <w:noWrap/>
            <w:hideMark/>
          </w:tcPr>
          <w:p w14:paraId="492B9747"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2014/08</w:t>
            </w:r>
          </w:p>
        </w:tc>
        <w:tc>
          <w:tcPr>
            <w:tcW w:w="1559" w:type="dxa"/>
            <w:shd w:val="clear" w:color="auto" w:fill="D9D9D9" w:themeFill="background1" w:themeFillShade="D9"/>
            <w:noWrap/>
            <w:hideMark/>
          </w:tcPr>
          <w:p w14:paraId="28575FD4"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4.028.456</w:t>
            </w:r>
          </w:p>
        </w:tc>
        <w:tc>
          <w:tcPr>
            <w:tcW w:w="2133" w:type="dxa"/>
            <w:shd w:val="clear" w:color="auto" w:fill="D9D9D9" w:themeFill="background1" w:themeFillShade="D9"/>
            <w:noWrap/>
            <w:hideMark/>
          </w:tcPr>
          <w:p w14:paraId="3B04041C"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19.197</w:t>
            </w:r>
          </w:p>
        </w:tc>
        <w:tc>
          <w:tcPr>
            <w:tcW w:w="1520" w:type="dxa"/>
            <w:shd w:val="clear" w:color="auto" w:fill="D9D9D9" w:themeFill="background1" w:themeFillShade="D9"/>
            <w:noWrap/>
            <w:hideMark/>
          </w:tcPr>
          <w:p w14:paraId="241E7393"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4.047.653</w:t>
            </w:r>
          </w:p>
        </w:tc>
      </w:tr>
      <w:tr w:rsidR="00300F5C" w:rsidRPr="00CA7FE2" w14:paraId="10EA5EE7" w14:textId="77777777" w:rsidTr="00CA7FE2">
        <w:trPr>
          <w:trHeight w:val="255"/>
          <w:jc w:val="center"/>
        </w:trPr>
        <w:tc>
          <w:tcPr>
            <w:tcW w:w="1517" w:type="dxa"/>
            <w:shd w:val="clear" w:color="auto" w:fill="D9D9D9" w:themeFill="background1" w:themeFillShade="D9"/>
            <w:noWrap/>
            <w:hideMark/>
          </w:tcPr>
          <w:p w14:paraId="45DD9C61"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2014/09</w:t>
            </w:r>
          </w:p>
        </w:tc>
        <w:tc>
          <w:tcPr>
            <w:tcW w:w="1559" w:type="dxa"/>
            <w:shd w:val="clear" w:color="auto" w:fill="D9D9D9" w:themeFill="background1" w:themeFillShade="D9"/>
            <w:noWrap/>
            <w:hideMark/>
          </w:tcPr>
          <w:p w14:paraId="61C511FF"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5.369.850</w:t>
            </w:r>
          </w:p>
        </w:tc>
        <w:tc>
          <w:tcPr>
            <w:tcW w:w="2133" w:type="dxa"/>
            <w:shd w:val="clear" w:color="auto" w:fill="D9D9D9" w:themeFill="background1" w:themeFillShade="D9"/>
            <w:noWrap/>
            <w:hideMark/>
          </w:tcPr>
          <w:p w14:paraId="60505EE4"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67.467</w:t>
            </w:r>
          </w:p>
        </w:tc>
        <w:tc>
          <w:tcPr>
            <w:tcW w:w="1520" w:type="dxa"/>
            <w:shd w:val="clear" w:color="auto" w:fill="D9D9D9" w:themeFill="background1" w:themeFillShade="D9"/>
            <w:noWrap/>
            <w:hideMark/>
          </w:tcPr>
          <w:p w14:paraId="06554951"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5.437.317</w:t>
            </w:r>
          </w:p>
        </w:tc>
      </w:tr>
      <w:tr w:rsidR="00300F5C" w:rsidRPr="00CA7FE2" w14:paraId="0FCD221F" w14:textId="77777777" w:rsidTr="00CA7FE2">
        <w:trPr>
          <w:trHeight w:val="255"/>
          <w:jc w:val="center"/>
        </w:trPr>
        <w:tc>
          <w:tcPr>
            <w:tcW w:w="1517" w:type="dxa"/>
            <w:noWrap/>
            <w:hideMark/>
          </w:tcPr>
          <w:p w14:paraId="0A47796C"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2014/10</w:t>
            </w:r>
          </w:p>
        </w:tc>
        <w:tc>
          <w:tcPr>
            <w:tcW w:w="1559" w:type="dxa"/>
            <w:noWrap/>
            <w:hideMark/>
          </w:tcPr>
          <w:p w14:paraId="7309CBDE"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5.269.759</w:t>
            </w:r>
          </w:p>
        </w:tc>
        <w:tc>
          <w:tcPr>
            <w:tcW w:w="2133" w:type="dxa"/>
            <w:noWrap/>
            <w:hideMark/>
          </w:tcPr>
          <w:p w14:paraId="59DF0739"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67.883</w:t>
            </w:r>
          </w:p>
        </w:tc>
        <w:tc>
          <w:tcPr>
            <w:tcW w:w="1520" w:type="dxa"/>
            <w:noWrap/>
            <w:hideMark/>
          </w:tcPr>
          <w:p w14:paraId="5C24EE0C"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5.337.642</w:t>
            </w:r>
          </w:p>
        </w:tc>
      </w:tr>
      <w:tr w:rsidR="00300F5C" w:rsidRPr="00CA7FE2" w14:paraId="142D29D5" w14:textId="77777777" w:rsidTr="00CA7FE2">
        <w:trPr>
          <w:trHeight w:val="255"/>
          <w:jc w:val="center"/>
        </w:trPr>
        <w:tc>
          <w:tcPr>
            <w:tcW w:w="1517" w:type="dxa"/>
            <w:noWrap/>
            <w:hideMark/>
          </w:tcPr>
          <w:p w14:paraId="4BA2B7FB"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2014/11</w:t>
            </w:r>
          </w:p>
        </w:tc>
        <w:tc>
          <w:tcPr>
            <w:tcW w:w="1559" w:type="dxa"/>
            <w:noWrap/>
            <w:hideMark/>
          </w:tcPr>
          <w:p w14:paraId="3C790548"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5.339.612</w:t>
            </w:r>
          </w:p>
        </w:tc>
        <w:tc>
          <w:tcPr>
            <w:tcW w:w="2133" w:type="dxa"/>
            <w:noWrap/>
            <w:hideMark/>
          </w:tcPr>
          <w:p w14:paraId="09CC609E"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88.615</w:t>
            </w:r>
          </w:p>
        </w:tc>
        <w:tc>
          <w:tcPr>
            <w:tcW w:w="1520" w:type="dxa"/>
            <w:noWrap/>
            <w:hideMark/>
          </w:tcPr>
          <w:p w14:paraId="00A34F7D"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5.428.227</w:t>
            </w:r>
          </w:p>
        </w:tc>
      </w:tr>
      <w:tr w:rsidR="00300F5C" w:rsidRPr="00CA7FE2" w14:paraId="0FE96395" w14:textId="77777777" w:rsidTr="00CA7FE2">
        <w:trPr>
          <w:trHeight w:val="255"/>
          <w:jc w:val="center"/>
        </w:trPr>
        <w:tc>
          <w:tcPr>
            <w:tcW w:w="1517" w:type="dxa"/>
            <w:noWrap/>
            <w:hideMark/>
          </w:tcPr>
          <w:p w14:paraId="23AA856E"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2014/12</w:t>
            </w:r>
          </w:p>
        </w:tc>
        <w:tc>
          <w:tcPr>
            <w:tcW w:w="1559" w:type="dxa"/>
            <w:noWrap/>
            <w:hideMark/>
          </w:tcPr>
          <w:p w14:paraId="5FCDA304"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5.352.226</w:t>
            </w:r>
          </w:p>
        </w:tc>
        <w:tc>
          <w:tcPr>
            <w:tcW w:w="2133" w:type="dxa"/>
            <w:noWrap/>
            <w:hideMark/>
          </w:tcPr>
          <w:p w14:paraId="6EF3AEAC"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63.796</w:t>
            </w:r>
          </w:p>
        </w:tc>
        <w:tc>
          <w:tcPr>
            <w:tcW w:w="1520" w:type="dxa"/>
            <w:noWrap/>
            <w:hideMark/>
          </w:tcPr>
          <w:p w14:paraId="1580F951"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5.416.022</w:t>
            </w:r>
          </w:p>
        </w:tc>
      </w:tr>
      <w:tr w:rsidR="00300F5C" w:rsidRPr="00CA7FE2" w14:paraId="0851744D" w14:textId="77777777" w:rsidTr="00CA7FE2">
        <w:trPr>
          <w:trHeight w:val="255"/>
          <w:jc w:val="center"/>
        </w:trPr>
        <w:tc>
          <w:tcPr>
            <w:tcW w:w="1517" w:type="dxa"/>
            <w:noWrap/>
            <w:hideMark/>
          </w:tcPr>
          <w:p w14:paraId="079E05BA"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2015/01</w:t>
            </w:r>
          </w:p>
        </w:tc>
        <w:tc>
          <w:tcPr>
            <w:tcW w:w="1559" w:type="dxa"/>
            <w:noWrap/>
            <w:hideMark/>
          </w:tcPr>
          <w:p w14:paraId="544E65B2"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5.776.429</w:t>
            </w:r>
          </w:p>
        </w:tc>
        <w:tc>
          <w:tcPr>
            <w:tcW w:w="2133" w:type="dxa"/>
            <w:noWrap/>
            <w:hideMark/>
          </w:tcPr>
          <w:p w14:paraId="5EA02F2F"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90.366</w:t>
            </w:r>
          </w:p>
        </w:tc>
        <w:tc>
          <w:tcPr>
            <w:tcW w:w="1520" w:type="dxa"/>
            <w:noWrap/>
            <w:hideMark/>
          </w:tcPr>
          <w:p w14:paraId="423F0FE4"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5.866.795</w:t>
            </w:r>
          </w:p>
        </w:tc>
      </w:tr>
      <w:tr w:rsidR="00300F5C" w:rsidRPr="00CA7FE2" w14:paraId="6BE98F85" w14:textId="77777777" w:rsidTr="00CA7FE2">
        <w:trPr>
          <w:trHeight w:val="255"/>
          <w:jc w:val="center"/>
        </w:trPr>
        <w:tc>
          <w:tcPr>
            <w:tcW w:w="1517" w:type="dxa"/>
            <w:noWrap/>
            <w:hideMark/>
          </w:tcPr>
          <w:p w14:paraId="37E7529D"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2015/02</w:t>
            </w:r>
          </w:p>
        </w:tc>
        <w:tc>
          <w:tcPr>
            <w:tcW w:w="1559" w:type="dxa"/>
            <w:noWrap/>
            <w:hideMark/>
          </w:tcPr>
          <w:p w14:paraId="4059240E"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5.504.751</w:t>
            </w:r>
          </w:p>
        </w:tc>
        <w:tc>
          <w:tcPr>
            <w:tcW w:w="2133" w:type="dxa"/>
            <w:noWrap/>
            <w:hideMark/>
          </w:tcPr>
          <w:p w14:paraId="36C910D1"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66.506</w:t>
            </w:r>
          </w:p>
        </w:tc>
        <w:tc>
          <w:tcPr>
            <w:tcW w:w="1520" w:type="dxa"/>
            <w:noWrap/>
            <w:hideMark/>
          </w:tcPr>
          <w:p w14:paraId="5A96F2B2"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5.571.257</w:t>
            </w:r>
          </w:p>
        </w:tc>
      </w:tr>
      <w:tr w:rsidR="00300F5C" w:rsidRPr="00CA7FE2" w14:paraId="6F6C75BC" w14:textId="77777777" w:rsidTr="00CA7FE2">
        <w:trPr>
          <w:trHeight w:val="255"/>
          <w:jc w:val="center"/>
        </w:trPr>
        <w:tc>
          <w:tcPr>
            <w:tcW w:w="1517" w:type="dxa"/>
            <w:noWrap/>
            <w:hideMark/>
          </w:tcPr>
          <w:p w14:paraId="7A33E0FE"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2015/03</w:t>
            </w:r>
          </w:p>
        </w:tc>
        <w:tc>
          <w:tcPr>
            <w:tcW w:w="1559" w:type="dxa"/>
            <w:noWrap/>
            <w:hideMark/>
          </w:tcPr>
          <w:p w14:paraId="334B5DE5"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6.157.602</w:t>
            </w:r>
          </w:p>
        </w:tc>
        <w:tc>
          <w:tcPr>
            <w:tcW w:w="2133" w:type="dxa"/>
            <w:noWrap/>
            <w:hideMark/>
          </w:tcPr>
          <w:p w14:paraId="6D5DEA23"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92.849</w:t>
            </w:r>
          </w:p>
        </w:tc>
        <w:tc>
          <w:tcPr>
            <w:tcW w:w="1520" w:type="dxa"/>
            <w:noWrap/>
            <w:hideMark/>
          </w:tcPr>
          <w:p w14:paraId="46EC39A6"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6.250.451</w:t>
            </w:r>
          </w:p>
        </w:tc>
      </w:tr>
      <w:tr w:rsidR="00300F5C" w:rsidRPr="00CA7FE2" w14:paraId="0049662D" w14:textId="77777777" w:rsidTr="00CA7FE2">
        <w:trPr>
          <w:trHeight w:val="255"/>
          <w:jc w:val="center"/>
        </w:trPr>
        <w:tc>
          <w:tcPr>
            <w:tcW w:w="1517" w:type="dxa"/>
            <w:noWrap/>
            <w:hideMark/>
          </w:tcPr>
          <w:p w14:paraId="2EEDA4BC"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2015/04</w:t>
            </w:r>
          </w:p>
        </w:tc>
        <w:tc>
          <w:tcPr>
            <w:tcW w:w="1559" w:type="dxa"/>
            <w:noWrap/>
            <w:hideMark/>
          </w:tcPr>
          <w:p w14:paraId="6DD58873"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5.766.731</w:t>
            </w:r>
          </w:p>
        </w:tc>
        <w:tc>
          <w:tcPr>
            <w:tcW w:w="2133" w:type="dxa"/>
            <w:noWrap/>
            <w:hideMark/>
          </w:tcPr>
          <w:p w14:paraId="33E0A0E9"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155.639</w:t>
            </w:r>
          </w:p>
        </w:tc>
        <w:tc>
          <w:tcPr>
            <w:tcW w:w="1520" w:type="dxa"/>
            <w:noWrap/>
            <w:hideMark/>
          </w:tcPr>
          <w:p w14:paraId="4B89CB4F"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5.922.370</w:t>
            </w:r>
          </w:p>
        </w:tc>
      </w:tr>
      <w:tr w:rsidR="00300F5C" w:rsidRPr="00CA7FE2" w14:paraId="43EE4F77" w14:textId="77777777" w:rsidTr="00CA7FE2">
        <w:trPr>
          <w:trHeight w:val="255"/>
          <w:jc w:val="center"/>
        </w:trPr>
        <w:tc>
          <w:tcPr>
            <w:tcW w:w="1517" w:type="dxa"/>
            <w:noWrap/>
            <w:hideMark/>
          </w:tcPr>
          <w:p w14:paraId="1AE182F9"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2015/05</w:t>
            </w:r>
          </w:p>
        </w:tc>
        <w:tc>
          <w:tcPr>
            <w:tcW w:w="1559" w:type="dxa"/>
            <w:noWrap/>
            <w:hideMark/>
          </w:tcPr>
          <w:p w14:paraId="586A4DE5"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5.473.126</w:t>
            </w:r>
          </w:p>
        </w:tc>
        <w:tc>
          <w:tcPr>
            <w:tcW w:w="2133" w:type="dxa"/>
            <w:noWrap/>
            <w:hideMark/>
          </w:tcPr>
          <w:p w14:paraId="013B1E57"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430.906</w:t>
            </w:r>
          </w:p>
        </w:tc>
        <w:tc>
          <w:tcPr>
            <w:tcW w:w="1520" w:type="dxa"/>
            <w:noWrap/>
            <w:hideMark/>
          </w:tcPr>
          <w:p w14:paraId="5407A268"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5.904.032</w:t>
            </w:r>
          </w:p>
        </w:tc>
      </w:tr>
      <w:tr w:rsidR="00300F5C" w:rsidRPr="00CA7FE2" w14:paraId="2D61FB5D" w14:textId="77777777" w:rsidTr="00CA7FE2">
        <w:trPr>
          <w:trHeight w:val="255"/>
          <w:jc w:val="center"/>
        </w:trPr>
        <w:tc>
          <w:tcPr>
            <w:tcW w:w="1517" w:type="dxa"/>
            <w:noWrap/>
            <w:hideMark/>
          </w:tcPr>
          <w:p w14:paraId="286B6BD0" w14:textId="77777777" w:rsidR="00300F5C" w:rsidRPr="00CA7FE2" w:rsidRDefault="00300F5C" w:rsidP="00CA7FE2">
            <w:pPr>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2015/06</w:t>
            </w:r>
          </w:p>
        </w:tc>
        <w:tc>
          <w:tcPr>
            <w:tcW w:w="1559" w:type="dxa"/>
            <w:noWrap/>
            <w:hideMark/>
          </w:tcPr>
          <w:p w14:paraId="3C13CD66"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4.670.374</w:t>
            </w:r>
          </w:p>
        </w:tc>
        <w:tc>
          <w:tcPr>
            <w:tcW w:w="2133" w:type="dxa"/>
            <w:noWrap/>
            <w:hideMark/>
          </w:tcPr>
          <w:p w14:paraId="5EBB9CCB"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1.000.660</w:t>
            </w:r>
          </w:p>
        </w:tc>
        <w:tc>
          <w:tcPr>
            <w:tcW w:w="1520" w:type="dxa"/>
            <w:noWrap/>
            <w:hideMark/>
          </w:tcPr>
          <w:p w14:paraId="5E7AF04F"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5.671.034</w:t>
            </w:r>
          </w:p>
        </w:tc>
      </w:tr>
      <w:tr w:rsidR="00300F5C" w:rsidRPr="00CA7FE2" w14:paraId="28ABBD45" w14:textId="77777777" w:rsidTr="00CA7FE2">
        <w:trPr>
          <w:trHeight w:val="255"/>
          <w:jc w:val="center"/>
        </w:trPr>
        <w:tc>
          <w:tcPr>
            <w:tcW w:w="1517" w:type="dxa"/>
            <w:shd w:val="clear" w:color="auto" w:fill="D9D9D9" w:themeFill="background1" w:themeFillShade="D9"/>
            <w:noWrap/>
            <w:hideMark/>
          </w:tcPr>
          <w:p w14:paraId="22F4F182" w14:textId="77777777" w:rsidR="00300F5C" w:rsidRPr="00CA7FE2" w:rsidRDefault="00300F5C" w:rsidP="00CA7FE2">
            <w:pPr>
              <w:rPr>
                <w:rFonts w:asciiTheme="majorHAnsi" w:eastAsia="Times New Roman" w:hAnsiTheme="majorHAnsi" w:cs="Arial"/>
                <w:szCs w:val="20"/>
                <w:lang w:eastAsia="el-GR"/>
              </w:rPr>
            </w:pPr>
            <w:r w:rsidRPr="00CA7FE2">
              <w:rPr>
                <w:rFonts w:asciiTheme="majorHAnsi" w:eastAsia="Times New Roman" w:hAnsiTheme="majorHAnsi" w:cs="Arial"/>
                <w:szCs w:val="20"/>
                <w:lang w:eastAsia="el-GR"/>
              </w:rPr>
              <w:t>2015/07</w:t>
            </w:r>
          </w:p>
        </w:tc>
        <w:tc>
          <w:tcPr>
            <w:tcW w:w="1559" w:type="dxa"/>
            <w:shd w:val="clear" w:color="auto" w:fill="D9D9D9" w:themeFill="background1" w:themeFillShade="D9"/>
            <w:noWrap/>
            <w:hideMark/>
          </w:tcPr>
          <w:p w14:paraId="29E1D016"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2.964.719</w:t>
            </w:r>
          </w:p>
        </w:tc>
        <w:tc>
          <w:tcPr>
            <w:tcW w:w="2133" w:type="dxa"/>
            <w:shd w:val="clear" w:color="auto" w:fill="D9D9D9" w:themeFill="background1" w:themeFillShade="D9"/>
            <w:noWrap/>
            <w:hideMark/>
          </w:tcPr>
          <w:p w14:paraId="56F896E2"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1.221.087</w:t>
            </w:r>
          </w:p>
        </w:tc>
        <w:tc>
          <w:tcPr>
            <w:tcW w:w="1520" w:type="dxa"/>
            <w:shd w:val="clear" w:color="auto" w:fill="D9D9D9" w:themeFill="background1" w:themeFillShade="D9"/>
            <w:noWrap/>
            <w:hideMark/>
          </w:tcPr>
          <w:p w14:paraId="19C15377"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4.185.805</w:t>
            </w:r>
          </w:p>
        </w:tc>
      </w:tr>
      <w:tr w:rsidR="00300F5C" w:rsidRPr="00CA7FE2" w14:paraId="2BA9D9A3" w14:textId="77777777" w:rsidTr="00CA7FE2">
        <w:trPr>
          <w:trHeight w:val="255"/>
          <w:jc w:val="center"/>
        </w:trPr>
        <w:tc>
          <w:tcPr>
            <w:tcW w:w="1517" w:type="dxa"/>
            <w:shd w:val="clear" w:color="auto" w:fill="D9D9D9" w:themeFill="background1" w:themeFillShade="D9"/>
            <w:noWrap/>
            <w:hideMark/>
          </w:tcPr>
          <w:p w14:paraId="5F88CD04" w14:textId="77777777" w:rsidR="00300F5C" w:rsidRPr="00CA7FE2" w:rsidRDefault="00300F5C" w:rsidP="00CA7FE2">
            <w:pPr>
              <w:rPr>
                <w:rFonts w:asciiTheme="majorHAnsi" w:eastAsia="Times New Roman" w:hAnsiTheme="majorHAnsi" w:cs="Arial"/>
                <w:szCs w:val="20"/>
                <w:lang w:eastAsia="el-GR"/>
              </w:rPr>
            </w:pPr>
            <w:r w:rsidRPr="00CA7FE2">
              <w:rPr>
                <w:rFonts w:asciiTheme="majorHAnsi" w:eastAsia="Times New Roman" w:hAnsiTheme="majorHAnsi" w:cs="Arial"/>
                <w:szCs w:val="20"/>
                <w:lang w:eastAsia="el-GR"/>
              </w:rPr>
              <w:t>2015/08</w:t>
            </w:r>
          </w:p>
        </w:tc>
        <w:tc>
          <w:tcPr>
            <w:tcW w:w="1559" w:type="dxa"/>
            <w:shd w:val="clear" w:color="auto" w:fill="D9D9D9" w:themeFill="background1" w:themeFillShade="D9"/>
            <w:noWrap/>
            <w:hideMark/>
          </w:tcPr>
          <w:p w14:paraId="1E2E0133"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1.149.573</w:t>
            </w:r>
          </w:p>
        </w:tc>
        <w:tc>
          <w:tcPr>
            <w:tcW w:w="2133" w:type="dxa"/>
            <w:shd w:val="clear" w:color="auto" w:fill="D9D9D9" w:themeFill="background1" w:themeFillShade="D9"/>
            <w:noWrap/>
            <w:hideMark/>
          </w:tcPr>
          <w:p w14:paraId="65F0C6D6"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449.485</w:t>
            </w:r>
          </w:p>
        </w:tc>
        <w:tc>
          <w:tcPr>
            <w:tcW w:w="1520" w:type="dxa"/>
            <w:shd w:val="clear" w:color="auto" w:fill="D9D9D9" w:themeFill="background1" w:themeFillShade="D9"/>
            <w:noWrap/>
            <w:hideMark/>
          </w:tcPr>
          <w:p w14:paraId="6108DA41"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1.599.058</w:t>
            </w:r>
          </w:p>
        </w:tc>
      </w:tr>
      <w:tr w:rsidR="00300F5C" w:rsidRPr="00CA7FE2" w14:paraId="709D192F" w14:textId="77777777" w:rsidTr="00CA7FE2">
        <w:trPr>
          <w:trHeight w:val="255"/>
          <w:jc w:val="center"/>
        </w:trPr>
        <w:tc>
          <w:tcPr>
            <w:tcW w:w="1517" w:type="dxa"/>
            <w:shd w:val="clear" w:color="auto" w:fill="D9D9D9" w:themeFill="background1" w:themeFillShade="D9"/>
            <w:noWrap/>
            <w:hideMark/>
          </w:tcPr>
          <w:p w14:paraId="2E0F1CE1" w14:textId="77777777" w:rsidR="00300F5C" w:rsidRPr="00CA7FE2" w:rsidRDefault="00300F5C" w:rsidP="00CA7FE2">
            <w:pPr>
              <w:rPr>
                <w:rFonts w:asciiTheme="majorHAnsi" w:eastAsia="Times New Roman" w:hAnsiTheme="majorHAnsi" w:cs="Arial"/>
                <w:szCs w:val="20"/>
                <w:lang w:eastAsia="el-GR"/>
              </w:rPr>
            </w:pPr>
            <w:r w:rsidRPr="00CA7FE2">
              <w:rPr>
                <w:rFonts w:asciiTheme="majorHAnsi" w:eastAsia="Times New Roman" w:hAnsiTheme="majorHAnsi" w:cs="Arial"/>
                <w:szCs w:val="20"/>
                <w:lang w:eastAsia="el-GR"/>
              </w:rPr>
              <w:t>2015/09</w:t>
            </w:r>
          </w:p>
        </w:tc>
        <w:tc>
          <w:tcPr>
            <w:tcW w:w="1559" w:type="dxa"/>
            <w:shd w:val="clear" w:color="auto" w:fill="D9D9D9" w:themeFill="background1" w:themeFillShade="D9"/>
            <w:noWrap/>
            <w:hideMark/>
          </w:tcPr>
          <w:p w14:paraId="14D3B557"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196.014</w:t>
            </w:r>
          </w:p>
        </w:tc>
        <w:tc>
          <w:tcPr>
            <w:tcW w:w="2133" w:type="dxa"/>
            <w:shd w:val="clear" w:color="auto" w:fill="D9D9D9" w:themeFill="background1" w:themeFillShade="D9"/>
            <w:noWrap/>
            <w:hideMark/>
          </w:tcPr>
          <w:p w14:paraId="18E076AB"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322.656</w:t>
            </w:r>
          </w:p>
        </w:tc>
        <w:tc>
          <w:tcPr>
            <w:tcW w:w="1520" w:type="dxa"/>
            <w:shd w:val="clear" w:color="auto" w:fill="D9D9D9" w:themeFill="background1" w:themeFillShade="D9"/>
            <w:noWrap/>
            <w:hideMark/>
          </w:tcPr>
          <w:p w14:paraId="76352A1A" w14:textId="77777777" w:rsidR="00300F5C" w:rsidRPr="00CA7FE2" w:rsidRDefault="00300F5C" w:rsidP="00CA7FE2">
            <w:pPr>
              <w:jc w:val="right"/>
              <w:rPr>
                <w:rFonts w:asciiTheme="majorHAnsi" w:eastAsia="Times New Roman" w:hAnsiTheme="majorHAnsi" w:cs="Arial"/>
                <w:color w:val="000000"/>
                <w:szCs w:val="20"/>
                <w:lang w:eastAsia="el-GR"/>
              </w:rPr>
            </w:pPr>
            <w:r w:rsidRPr="00CA7FE2">
              <w:rPr>
                <w:rFonts w:asciiTheme="majorHAnsi" w:eastAsia="Times New Roman" w:hAnsiTheme="majorHAnsi" w:cs="Arial"/>
                <w:color w:val="000000"/>
                <w:szCs w:val="20"/>
                <w:lang w:eastAsia="el-GR"/>
              </w:rPr>
              <w:t>518.670</w:t>
            </w:r>
          </w:p>
        </w:tc>
      </w:tr>
    </w:tbl>
    <w:p w14:paraId="1D4C6BEF" w14:textId="77777777" w:rsidR="00CA7FE2" w:rsidRDefault="00CA7FE2" w:rsidP="00F046B0">
      <w:pPr>
        <w:tabs>
          <w:tab w:val="left" w:pos="9912"/>
        </w:tabs>
        <w:spacing w:before="120" w:after="120" w:line="360" w:lineRule="auto"/>
        <w:ind w:right="-11"/>
        <w:jc w:val="both"/>
        <w:rPr>
          <w:rFonts w:asciiTheme="majorHAnsi" w:hAnsiTheme="majorHAnsi" w:cs="Tahoma"/>
          <w:sz w:val="22"/>
          <w:lang w:val="el-GR"/>
        </w:rPr>
      </w:pPr>
    </w:p>
    <w:p w14:paraId="17D56FBE" w14:textId="77777777" w:rsidR="00CA7FE2" w:rsidRDefault="00CA7FE2" w:rsidP="00F046B0">
      <w:pPr>
        <w:tabs>
          <w:tab w:val="left" w:pos="9912"/>
        </w:tabs>
        <w:spacing w:before="120" w:after="120" w:line="360" w:lineRule="auto"/>
        <w:ind w:right="-11"/>
        <w:jc w:val="both"/>
        <w:rPr>
          <w:rFonts w:asciiTheme="majorHAnsi" w:hAnsiTheme="majorHAnsi" w:cs="Tahoma"/>
          <w:sz w:val="22"/>
          <w:lang w:val="el-GR"/>
        </w:rPr>
      </w:pPr>
    </w:p>
    <w:p w14:paraId="722C7D2C" w14:textId="77777777" w:rsidR="00CA7FE2" w:rsidRDefault="00CA7FE2" w:rsidP="00F046B0">
      <w:pPr>
        <w:tabs>
          <w:tab w:val="left" w:pos="9912"/>
        </w:tabs>
        <w:spacing w:before="120" w:after="120" w:line="360" w:lineRule="auto"/>
        <w:ind w:right="-11"/>
        <w:jc w:val="both"/>
        <w:rPr>
          <w:rFonts w:asciiTheme="majorHAnsi" w:hAnsiTheme="majorHAnsi" w:cs="Tahoma"/>
          <w:sz w:val="22"/>
          <w:lang w:val="el-GR"/>
        </w:rPr>
      </w:pPr>
    </w:p>
    <w:p w14:paraId="7651BB98" w14:textId="77777777" w:rsidR="00F046B0" w:rsidRPr="00827975" w:rsidRDefault="00F046B0" w:rsidP="00F046B0">
      <w:pPr>
        <w:tabs>
          <w:tab w:val="left" w:pos="9912"/>
        </w:tabs>
        <w:spacing w:before="120" w:after="120" w:line="360" w:lineRule="auto"/>
        <w:ind w:right="-11"/>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lastRenderedPageBreak/>
        <w:t>Διασφάλιση Ποιότητας</w:t>
      </w:r>
    </w:p>
    <w:p w14:paraId="7F8C48D2" w14:textId="2B4D6E09" w:rsidR="00CA7FE2" w:rsidRPr="00CA7FE2" w:rsidRDefault="00F046B0" w:rsidP="00F046B0">
      <w:pPr>
        <w:spacing w:before="120" w:after="120" w:line="360" w:lineRule="auto"/>
        <w:jc w:val="both"/>
        <w:rPr>
          <w:rFonts w:asciiTheme="majorHAnsi" w:hAnsiTheme="majorHAnsi"/>
          <w:sz w:val="22"/>
          <w:lang w:val="el-GR"/>
        </w:rPr>
      </w:pPr>
      <w:r>
        <w:rPr>
          <w:rFonts w:asciiTheme="majorHAnsi" w:hAnsiTheme="majorHAnsi" w:cs="Arial"/>
          <w:sz w:val="22"/>
          <w:lang w:val="el-GR"/>
        </w:rPr>
        <w:t xml:space="preserve">Ο ΕΟΠΥΥ </w:t>
      </w:r>
      <w:r w:rsidR="00437738">
        <w:rPr>
          <w:rFonts w:asciiTheme="majorHAnsi" w:hAnsiTheme="majorHAnsi"/>
          <w:sz w:val="22"/>
          <w:lang w:val="el-GR"/>
        </w:rPr>
        <w:t>υπέγραψε προγραμματική συμφωνία</w:t>
      </w:r>
      <w:r w:rsidRPr="00827975">
        <w:rPr>
          <w:rFonts w:asciiTheme="majorHAnsi" w:hAnsiTheme="majorHAnsi"/>
          <w:sz w:val="22"/>
          <w:lang w:val="el-GR"/>
        </w:rPr>
        <w:t xml:space="preserve"> με το ΕΚΑΠΤΥ,</w:t>
      </w:r>
      <w:r w:rsidR="00437738">
        <w:rPr>
          <w:rFonts w:asciiTheme="majorHAnsi" w:hAnsiTheme="majorHAnsi"/>
          <w:sz w:val="22"/>
          <w:lang w:val="el-GR"/>
        </w:rPr>
        <w:t xml:space="preserve"> με στόχο την επένδυση</w:t>
      </w:r>
      <w:r w:rsidRPr="00827975">
        <w:rPr>
          <w:rFonts w:asciiTheme="majorHAnsi" w:hAnsiTheme="majorHAnsi" w:cs="Arial"/>
          <w:sz w:val="22"/>
          <w:lang w:val="el-GR"/>
        </w:rPr>
        <w:t xml:space="preserve"> σε διαδικασίες και μηχανισμούς οι οποίοι διασφαλίζουν την ποιότητα των παρεχόμενων υπηρεσιών. </w:t>
      </w:r>
      <w:r w:rsidR="00DB52EB">
        <w:rPr>
          <w:rFonts w:asciiTheme="majorHAnsi" w:hAnsiTheme="majorHAnsi" w:cs="Arial"/>
          <w:sz w:val="22"/>
          <w:lang w:val="el-GR"/>
        </w:rPr>
        <w:t xml:space="preserve">Στο πλαίσιο αυτό, </w:t>
      </w:r>
      <w:r w:rsidR="00DB52EB" w:rsidRPr="00827975">
        <w:rPr>
          <w:rFonts w:asciiTheme="majorHAnsi" w:hAnsiTheme="majorHAnsi"/>
          <w:sz w:val="22"/>
          <w:lang w:val="el-GR"/>
        </w:rPr>
        <w:t>προϋπόθεση</w:t>
      </w:r>
      <w:r w:rsidR="00DB52EB">
        <w:rPr>
          <w:rFonts w:asciiTheme="majorHAnsi" w:hAnsiTheme="majorHAnsi"/>
          <w:sz w:val="22"/>
          <w:lang w:val="el-GR"/>
        </w:rPr>
        <w:t xml:space="preserve"> για τη σύναψη</w:t>
      </w:r>
      <w:r w:rsidR="00DB52EB" w:rsidRPr="00827975">
        <w:rPr>
          <w:rFonts w:asciiTheme="majorHAnsi" w:hAnsiTheme="majorHAnsi"/>
          <w:sz w:val="22"/>
          <w:lang w:val="el-GR"/>
        </w:rPr>
        <w:t xml:space="preserve"> σύμβασης με τον Οργανισμό </w:t>
      </w:r>
      <w:r w:rsidR="00916506">
        <w:rPr>
          <w:rFonts w:asciiTheme="majorHAnsi" w:hAnsiTheme="majorHAnsi"/>
          <w:sz w:val="22"/>
          <w:lang w:val="el-GR"/>
        </w:rPr>
        <w:t xml:space="preserve">θα </w:t>
      </w:r>
      <w:r w:rsidR="00DB52EB">
        <w:rPr>
          <w:rFonts w:asciiTheme="majorHAnsi" w:hAnsiTheme="majorHAnsi"/>
          <w:sz w:val="22"/>
          <w:lang w:val="el-GR"/>
        </w:rPr>
        <w:t>αποτελεί η</w:t>
      </w:r>
      <w:r w:rsidRPr="00827975">
        <w:rPr>
          <w:rFonts w:asciiTheme="majorHAnsi" w:hAnsiTheme="majorHAnsi"/>
          <w:sz w:val="22"/>
          <w:lang w:val="el-GR"/>
        </w:rPr>
        <w:t xml:space="preserve"> διαδι</w:t>
      </w:r>
      <w:r w:rsidR="00DB52EB">
        <w:rPr>
          <w:rFonts w:asciiTheme="majorHAnsi" w:hAnsiTheme="majorHAnsi"/>
          <w:sz w:val="22"/>
          <w:lang w:val="el-GR"/>
        </w:rPr>
        <w:t>κασ</w:t>
      </w:r>
      <w:r w:rsidR="00916506">
        <w:rPr>
          <w:rFonts w:asciiTheme="majorHAnsi" w:hAnsiTheme="majorHAnsi"/>
          <w:sz w:val="22"/>
          <w:lang w:val="el-GR"/>
        </w:rPr>
        <w:t>ία πιστοποίησης των παρόχων βάσει</w:t>
      </w:r>
      <w:r w:rsidR="00DB52EB">
        <w:rPr>
          <w:rFonts w:asciiTheme="majorHAnsi" w:hAnsiTheme="majorHAnsi"/>
          <w:sz w:val="22"/>
          <w:lang w:val="el-GR"/>
        </w:rPr>
        <w:t xml:space="preserve"> προκαθορισμένων κριτηρίων.</w:t>
      </w:r>
      <w:r w:rsidR="00CA7FE2">
        <w:rPr>
          <w:rFonts w:asciiTheme="majorHAnsi" w:hAnsiTheme="majorHAnsi"/>
          <w:sz w:val="22"/>
          <w:lang w:val="el-GR"/>
        </w:rPr>
        <w:t xml:space="preserve"> Παράλληλα, σε στενή συνεργασία με το ΕΚΑΠΤΥ πραγματοποιήθηκε η κατηγοριοποίηση των προϊόντων για κατακλίσεις και έλκη δέρματος και ολοκληρώνεται η δημόσια διαβούλευση για την ένταξή τους στην ηλεκτρονική συνταγογράφηση.</w:t>
      </w:r>
    </w:p>
    <w:p w14:paraId="577CFB53" w14:textId="3759FB34" w:rsidR="009B7BD7" w:rsidRPr="009B7BD7" w:rsidRDefault="00827975" w:rsidP="009B7BD7">
      <w:pPr>
        <w:jc w:val="both"/>
        <w:rPr>
          <w:rFonts w:ascii="Tahoma" w:hAnsi="Tahoma" w:cs="Tahoma"/>
          <w:sz w:val="24"/>
          <w:szCs w:val="24"/>
          <w:lang w:val="el-GR"/>
        </w:rPr>
      </w:pPr>
      <w:r w:rsidRPr="00827975">
        <w:rPr>
          <w:rFonts w:asciiTheme="majorHAnsi" w:hAnsiTheme="majorHAnsi" w:cs="Tahoma"/>
          <w:sz w:val="22"/>
          <w:lang w:val="el-GR"/>
        </w:rPr>
        <w:br w:type="page"/>
      </w:r>
    </w:p>
    <w:p w14:paraId="1EDCDAD7" w14:textId="3FCDF533" w:rsidR="000F1DB1" w:rsidRPr="00827975" w:rsidRDefault="000F1DB1" w:rsidP="00827975">
      <w:pPr>
        <w:spacing w:before="120" w:after="120" w:line="360" w:lineRule="auto"/>
        <w:rPr>
          <w:rFonts w:asciiTheme="majorHAnsi" w:hAnsiTheme="majorHAnsi" w:cs="Tahoma"/>
          <w:sz w:val="22"/>
          <w:lang w:val="el-GR"/>
        </w:rPr>
      </w:pPr>
    </w:p>
    <w:p w14:paraId="5EF6063D" w14:textId="0C049753" w:rsidR="00DA09A0" w:rsidRPr="00827975" w:rsidRDefault="00253A95" w:rsidP="00827975">
      <w:pPr>
        <w:shd w:val="clear" w:color="auto" w:fill="DBE5F1" w:themeFill="accent1" w:themeFillTint="33"/>
        <w:spacing w:before="120" w:after="120" w:line="360" w:lineRule="auto"/>
        <w:jc w:val="both"/>
        <w:rPr>
          <w:rFonts w:asciiTheme="majorHAnsi" w:hAnsiTheme="majorHAnsi" w:cs="Tahoma"/>
          <w:color w:val="E36C0A" w:themeColor="accent6" w:themeShade="BF"/>
          <w:sz w:val="22"/>
          <w:lang w:val="el-GR"/>
        </w:rPr>
      </w:pPr>
      <w:r w:rsidRPr="00827975">
        <w:rPr>
          <w:rFonts w:asciiTheme="majorHAnsi" w:hAnsiTheme="majorHAnsi" w:cs="Tahoma"/>
          <w:b/>
          <w:color w:val="E36C0A" w:themeColor="accent6" w:themeShade="BF"/>
          <w:sz w:val="22"/>
          <w:lang w:val="el-GR"/>
        </w:rPr>
        <w:t>Οργανωτική και λειτουργική δ</w:t>
      </w:r>
      <w:r w:rsidR="00DA09A0" w:rsidRPr="00827975">
        <w:rPr>
          <w:rFonts w:asciiTheme="majorHAnsi" w:hAnsiTheme="majorHAnsi" w:cs="Tahoma"/>
          <w:b/>
          <w:color w:val="E36C0A" w:themeColor="accent6" w:themeShade="BF"/>
          <w:sz w:val="22"/>
          <w:lang w:val="el-GR"/>
        </w:rPr>
        <w:t xml:space="preserve">ιαχείριση </w:t>
      </w:r>
      <w:r w:rsidRPr="00827975">
        <w:rPr>
          <w:rFonts w:asciiTheme="majorHAnsi" w:hAnsiTheme="majorHAnsi" w:cs="Tahoma"/>
          <w:b/>
          <w:color w:val="E36C0A" w:themeColor="accent6" w:themeShade="BF"/>
          <w:sz w:val="22"/>
          <w:lang w:val="el-GR"/>
        </w:rPr>
        <w:t>ΕΟΠΥΥ</w:t>
      </w:r>
    </w:p>
    <w:p w14:paraId="0AE3C480" w14:textId="77777777" w:rsidR="00DA09A0" w:rsidRPr="00827975" w:rsidRDefault="00DA09A0" w:rsidP="00827975">
      <w:pPr>
        <w:pStyle w:val="a4"/>
        <w:spacing w:before="120" w:after="120" w:line="360" w:lineRule="auto"/>
        <w:jc w:val="both"/>
        <w:rPr>
          <w:rFonts w:asciiTheme="majorHAnsi" w:hAnsiTheme="majorHAnsi"/>
          <w:sz w:val="22"/>
          <w:lang w:val="el-GR"/>
        </w:rPr>
      </w:pPr>
    </w:p>
    <w:p w14:paraId="5EDD4AE6" w14:textId="58C8FAD1" w:rsidR="00D65D52" w:rsidRPr="00827975" w:rsidRDefault="00D65D52" w:rsidP="00827975">
      <w:pPr>
        <w:pStyle w:val="a4"/>
        <w:spacing w:before="120" w:after="120" w:line="360" w:lineRule="auto"/>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Νέο Οργανόγραμμα &amp; νέο ΔΣ ΕΟΠΥΥ</w:t>
      </w:r>
    </w:p>
    <w:p w14:paraId="6A8F4E4A" w14:textId="4C07309E" w:rsidR="00D65D52" w:rsidRPr="00827975" w:rsidRDefault="006F4540"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Η ανάγκη υιοθέτησης ενός ευέλικτου σχήματος διοίκησης και οργάνωσης του ΕΟΠΥΥ, οδήγησε στην αναδιοργάνωση της Κεντρικής Υπηρεσίας μέσω συγχ</w:t>
      </w:r>
      <w:r>
        <w:rPr>
          <w:rFonts w:asciiTheme="majorHAnsi" w:hAnsiTheme="majorHAnsi"/>
          <w:sz w:val="22"/>
          <w:lang w:val="el-GR"/>
        </w:rPr>
        <w:t>ωνεύσεων</w:t>
      </w:r>
      <w:r w:rsidRPr="00827975">
        <w:rPr>
          <w:rFonts w:asciiTheme="majorHAnsi" w:hAnsiTheme="majorHAnsi"/>
          <w:sz w:val="22"/>
          <w:lang w:val="el-GR"/>
        </w:rPr>
        <w:t xml:space="preserve"> και της κατάργησης </w:t>
      </w:r>
      <w:r>
        <w:rPr>
          <w:rFonts w:asciiTheme="majorHAnsi" w:hAnsiTheme="majorHAnsi"/>
          <w:sz w:val="22"/>
          <w:lang w:val="el-GR"/>
        </w:rPr>
        <w:t xml:space="preserve">3 Διευθύνσεων και </w:t>
      </w:r>
      <w:r w:rsidRPr="00827975">
        <w:rPr>
          <w:rFonts w:asciiTheme="majorHAnsi" w:hAnsiTheme="majorHAnsi"/>
          <w:sz w:val="22"/>
          <w:lang w:val="el-GR"/>
        </w:rPr>
        <w:t xml:space="preserve">11 Τμημάτων προκειμένου να επιτευχθεί η ενδυνάμωση και η ικανοποιητική στελέχωσή τους. </w:t>
      </w:r>
      <w:r w:rsidR="0063494E" w:rsidRPr="00827975">
        <w:rPr>
          <w:rFonts w:asciiTheme="majorHAnsi" w:hAnsiTheme="majorHAnsi"/>
          <w:sz w:val="22"/>
          <w:lang w:val="el-GR"/>
        </w:rPr>
        <w:t>Οι συνεχείς λειτουργικές και οργανωτικές ανάγκες οδήγησαν στην κατάρτιση ειδικής Ομάδας μ</w:t>
      </w:r>
      <w:r w:rsidR="0058759C" w:rsidRPr="00827975">
        <w:rPr>
          <w:rFonts w:asciiTheme="majorHAnsi" w:hAnsiTheme="majorHAnsi"/>
          <w:sz w:val="22"/>
          <w:lang w:val="el-GR"/>
        </w:rPr>
        <w:t xml:space="preserve">ε έργο την εκπόνηση σχεδίου για την οργανωτική δομή του Οργανισμού και την εισήγησή του στις αρμόδιες υπηρεσίες του Υπουργείου Υγείας για την έκδοση </w:t>
      </w:r>
      <w:r w:rsidR="00253A95" w:rsidRPr="00827975">
        <w:rPr>
          <w:rFonts w:asciiTheme="majorHAnsi" w:hAnsiTheme="majorHAnsi"/>
          <w:sz w:val="22"/>
          <w:lang w:val="el-GR"/>
        </w:rPr>
        <w:t xml:space="preserve">του προβλεπόμενου θεσμικού πλαισίου. </w:t>
      </w:r>
      <w:r w:rsidR="0063494E" w:rsidRPr="00827975">
        <w:rPr>
          <w:rFonts w:asciiTheme="majorHAnsi" w:hAnsiTheme="majorHAnsi"/>
          <w:sz w:val="22"/>
          <w:lang w:val="el-GR"/>
        </w:rPr>
        <w:t>Επιπρόσθετα, καταργήθηκε η θέση του Αντιπροέδρου Β’ και ορίσθηκε νέα</w:t>
      </w:r>
      <w:r w:rsidR="00E202D2" w:rsidRPr="00827975">
        <w:rPr>
          <w:rFonts w:asciiTheme="majorHAnsi" w:hAnsiTheme="majorHAnsi"/>
          <w:sz w:val="22"/>
          <w:lang w:val="el-GR"/>
        </w:rPr>
        <w:t xml:space="preserve"> σύνθεση </w:t>
      </w:r>
      <w:r w:rsidR="0063494E" w:rsidRPr="00827975">
        <w:rPr>
          <w:rFonts w:asciiTheme="majorHAnsi" w:hAnsiTheme="majorHAnsi"/>
          <w:sz w:val="22"/>
          <w:lang w:val="el-GR"/>
        </w:rPr>
        <w:t xml:space="preserve">μελών του ΔΣ με ευρεία συμμετοχή εκπροσώπων </w:t>
      </w:r>
      <w:r w:rsidR="00066FE0">
        <w:rPr>
          <w:rFonts w:asciiTheme="majorHAnsi" w:hAnsiTheme="majorHAnsi"/>
          <w:sz w:val="22"/>
          <w:lang w:val="el-GR"/>
        </w:rPr>
        <w:t>κοινωνικών εταίρων (αναλογία 5 στους 9</w:t>
      </w:r>
      <w:r w:rsidR="0063494E" w:rsidRPr="00827975">
        <w:rPr>
          <w:rFonts w:asciiTheme="majorHAnsi" w:hAnsiTheme="majorHAnsi"/>
          <w:sz w:val="22"/>
          <w:lang w:val="el-GR"/>
        </w:rPr>
        <w:t>).</w:t>
      </w:r>
      <w:r w:rsidR="00E202D2" w:rsidRPr="00827975">
        <w:rPr>
          <w:rFonts w:asciiTheme="majorHAnsi" w:hAnsiTheme="majorHAnsi"/>
          <w:sz w:val="22"/>
          <w:lang w:val="el-GR"/>
        </w:rPr>
        <w:t xml:space="preserve">  </w:t>
      </w:r>
    </w:p>
    <w:p w14:paraId="6C0DDC50" w14:textId="77777777" w:rsidR="007C35F6" w:rsidRPr="00827975" w:rsidRDefault="007C35F6" w:rsidP="00827975">
      <w:pPr>
        <w:pStyle w:val="a4"/>
        <w:spacing w:before="120" w:after="120" w:line="360" w:lineRule="auto"/>
        <w:jc w:val="both"/>
        <w:rPr>
          <w:rFonts w:asciiTheme="majorHAnsi" w:hAnsiTheme="majorHAnsi"/>
          <w:sz w:val="22"/>
          <w:lang w:val="el-GR"/>
        </w:rPr>
      </w:pPr>
    </w:p>
    <w:p w14:paraId="6AC9C91E" w14:textId="094F2B21" w:rsidR="007C35F6" w:rsidRPr="00827975" w:rsidRDefault="007C35F6" w:rsidP="00827975">
      <w:pPr>
        <w:pStyle w:val="a4"/>
        <w:spacing w:before="120" w:after="120" w:line="360" w:lineRule="auto"/>
        <w:jc w:val="both"/>
        <w:rPr>
          <w:rFonts w:asciiTheme="majorHAnsi" w:hAnsiTheme="majorHAnsi"/>
          <w:color w:val="365F91" w:themeColor="accent1" w:themeShade="BF"/>
          <w:sz w:val="22"/>
          <w:u w:val="single"/>
          <w:lang w:val="el-GR"/>
        </w:rPr>
      </w:pPr>
      <w:r w:rsidRPr="00827975">
        <w:rPr>
          <w:rFonts w:asciiTheme="majorHAnsi" w:hAnsiTheme="majorHAnsi"/>
          <w:color w:val="365F91" w:themeColor="accent1" w:themeShade="BF"/>
          <w:sz w:val="22"/>
          <w:u w:val="single"/>
          <w:lang w:val="el-GR"/>
        </w:rPr>
        <w:t>Μετεγκατάσταση Κεντρικής Υπηρεσίας ΕΟΠΥΥ</w:t>
      </w:r>
    </w:p>
    <w:p w14:paraId="3A8EB655" w14:textId="47532E6F" w:rsidR="007C35F6" w:rsidRPr="00827975" w:rsidRDefault="007C35F6" w:rsidP="00827975">
      <w:pPr>
        <w:pStyle w:val="a4"/>
        <w:spacing w:before="120" w:after="120" w:line="360" w:lineRule="auto"/>
        <w:jc w:val="both"/>
        <w:rPr>
          <w:rFonts w:asciiTheme="majorHAnsi" w:hAnsiTheme="majorHAnsi"/>
          <w:sz w:val="22"/>
          <w:lang w:val="el-GR"/>
        </w:rPr>
      </w:pPr>
      <w:r w:rsidRPr="00827975">
        <w:rPr>
          <w:rFonts w:asciiTheme="majorHAnsi" w:hAnsiTheme="majorHAnsi"/>
          <w:sz w:val="22"/>
          <w:lang w:val="el-GR"/>
        </w:rPr>
        <w:t>Στο πλαίσιο του εξορθολογισμού των δαπανών του Οργανισμού</w:t>
      </w:r>
      <w:r w:rsidR="00D65D52" w:rsidRPr="00827975">
        <w:rPr>
          <w:rFonts w:asciiTheme="majorHAnsi" w:hAnsiTheme="majorHAnsi"/>
          <w:sz w:val="22"/>
          <w:lang w:val="el-GR"/>
        </w:rPr>
        <w:t>, πραγματοποιήθηκε μεταφορά του συνόλου των Διευθύνσεων της Κεντρικής Υπηρεσίας</w:t>
      </w:r>
      <w:r w:rsidR="00C47546" w:rsidRPr="00827975">
        <w:rPr>
          <w:rFonts w:asciiTheme="majorHAnsi" w:hAnsiTheme="majorHAnsi"/>
          <w:sz w:val="22"/>
          <w:lang w:val="el-GR"/>
        </w:rPr>
        <w:t xml:space="preserve"> (ΚΥ)</w:t>
      </w:r>
      <w:r w:rsidR="00D65D52" w:rsidRPr="00827975">
        <w:rPr>
          <w:rFonts w:asciiTheme="majorHAnsi" w:hAnsiTheme="majorHAnsi"/>
          <w:sz w:val="22"/>
          <w:lang w:val="el-GR"/>
        </w:rPr>
        <w:t xml:space="preserve"> του ΕΟΠΥΥ, από το μίσθιο επί της </w:t>
      </w:r>
      <w:r w:rsidR="00AC3725">
        <w:rPr>
          <w:rFonts w:asciiTheme="majorHAnsi" w:hAnsiTheme="majorHAnsi"/>
          <w:sz w:val="22"/>
          <w:lang w:val="el-GR"/>
        </w:rPr>
        <w:t xml:space="preserve">οδού </w:t>
      </w:r>
      <w:r w:rsidR="00D65D52" w:rsidRPr="00827975">
        <w:rPr>
          <w:rFonts w:asciiTheme="majorHAnsi" w:hAnsiTheme="majorHAnsi"/>
          <w:sz w:val="22"/>
          <w:lang w:val="el-GR"/>
        </w:rPr>
        <w:t>Λεωφ. Κηφισίας 39</w:t>
      </w:r>
      <w:r w:rsidR="00253A95" w:rsidRPr="00827975">
        <w:rPr>
          <w:rFonts w:asciiTheme="majorHAnsi" w:hAnsiTheme="majorHAnsi"/>
          <w:sz w:val="22"/>
          <w:lang w:val="el-GR"/>
        </w:rPr>
        <w:t>, στο Μαρούσι, στο ιδιόκτητο κτι</w:t>
      </w:r>
      <w:r w:rsidR="00D65D52" w:rsidRPr="00827975">
        <w:rPr>
          <w:rFonts w:asciiTheme="majorHAnsi" w:hAnsiTheme="majorHAnsi"/>
          <w:sz w:val="22"/>
          <w:lang w:val="el-GR"/>
        </w:rPr>
        <w:t>ριακό συγκρότημα του ΕΟΠΥΥ επί της οδού Αποστόλου Παύλου 12,</w:t>
      </w:r>
      <w:r w:rsidR="00AC3725">
        <w:rPr>
          <w:rFonts w:asciiTheme="majorHAnsi" w:hAnsiTheme="majorHAnsi"/>
          <w:sz w:val="22"/>
          <w:lang w:val="el-GR"/>
        </w:rPr>
        <w:t xml:space="preserve"> στο</w:t>
      </w:r>
      <w:r w:rsidR="00D65D52" w:rsidRPr="00827975">
        <w:rPr>
          <w:rFonts w:asciiTheme="majorHAnsi" w:hAnsiTheme="majorHAnsi"/>
          <w:sz w:val="22"/>
          <w:lang w:val="el-GR"/>
        </w:rPr>
        <w:t xml:space="preserve"> Μαρούσι</w:t>
      </w:r>
      <w:r w:rsidR="00253A95" w:rsidRPr="00827975">
        <w:rPr>
          <w:rFonts w:asciiTheme="majorHAnsi" w:hAnsiTheme="majorHAnsi"/>
          <w:sz w:val="22"/>
          <w:lang w:val="el-GR"/>
        </w:rPr>
        <w:t>, με αποτέλεσμα τη</w:t>
      </w:r>
      <w:r w:rsidR="00C47546" w:rsidRPr="00827975">
        <w:rPr>
          <w:rFonts w:asciiTheme="majorHAnsi" w:hAnsiTheme="majorHAnsi"/>
          <w:sz w:val="22"/>
          <w:lang w:val="el-GR"/>
        </w:rPr>
        <w:t xml:space="preserve"> μείωση του λειτουργικού κόστους της ΚΥ</w:t>
      </w:r>
      <w:r w:rsidR="00D65D52" w:rsidRPr="00827975">
        <w:rPr>
          <w:rFonts w:asciiTheme="majorHAnsi" w:hAnsiTheme="majorHAnsi"/>
          <w:sz w:val="22"/>
          <w:lang w:val="el-GR"/>
        </w:rPr>
        <w:t>.</w:t>
      </w:r>
      <w:r w:rsidR="00C47546" w:rsidRPr="00827975">
        <w:rPr>
          <w:rFonts w:asciiTheme="majorHAnsi" w:hAnsiTheme="majorHAnsi"/>
          <w:sz w:val="22"/>
          <w:lang w:val="el-GR"/>
        </w:rPr>
        <w:t xml:space="preserve"> </w:t>
      </w:r>
      <w:r w:rsidR="00066FE0">
        <w:rPr>
          <w:rFonts w:asciiTheme="majorHAnsi" w:hAnsiTheme="majorHAnsi"/>
          <w:sz w:val="22"/>
          <w:lang w:val="el-GR"/>
        </w:rPr>
        <w:t>Επίσης, τις προσεχείς ημέρες ολοκληρώνεται η μετεγκατάσταση της ΠΕΔΥ Πειραιά σε κτίριο το οποίο μισθώνει ο Οργανισμός από το ΕΤΕΑ για λόγους χωροταξικούς καθώς και για τη βελτίωση των συνθηκών εργασίας του προσωπικού αλλά και  της εξυπηρέτησης των ασφαλισμένων.</w:t>
      </w:r>
    </w:p>
    <w:p w14:paraId="65B89F12" w14:textId="77777777" w:rsidR="0058759C" w:rsidRPr="00827975" w:rsidRDefault="0058759C" w:rsidP="00827975">
      <w:pPr>
        <w:pStyle w:val="a4"/>
        <w:spacing w:before="120" w:after="120" w:line="360" w:lineRule="auto"/>
        <w:rPr>
          <w:rFonts w:asciiTheme="majorHAnsi" w:hAnsiTheme="majorHAnsi" w:cs="Tahoma"/>
          <w:sz w:val="22"/>
          <w:lang w:val="el-GR"/>
        </w:rPr>
      </w:pPr>
    </w:p>
    <w:p w14:paraId="1EA68D51" w14:textId="12A03243" w:rsidR="0063494E" w:rsidRPr="00827975" w:rsidRDefault="0063494E" w:rsidP="00827975">
      <w:pPr>
        <w:pStyle w:val="a4"/>
        <w:spacing w:before="120" w:after="120" w:line="360" w:lineRule="auto"/>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Φάκελος Ασφάλισης Υγείας</w:t>
      </w:r>
    </w:p>
    <w:p w14:paraId="6330478C" w14:textId="10A444DD" w:rsidR="0058759C" w:rsidRPr="00827975" w:rsidRDefault="009B7BD7" w:rsidP="00827975">
      <w:pPr>
        <w:pStyle w:val="a4"/>
        <w:spacing w:before="120" w:after="120" w:line="360" w:lineRule="auto"/>
        <w:jc w:val="both"/>
        <w:rPr>
          <w:rFonts w:asciiTheme="majorHAnsi" w:hAnsiTheme="majorHAnsi"/>
          <w:sz w:val="22"/>
          <w:lang w:val="el-GR"/>
        </w:rPr>
      </w:pPr>
      <w:r>
        <w:rPr>
          <w:rFonts w:asciiTheme="majorHAnsi" w:hAnsiTheme="majorHAnsi"/>
          <w:sz w:val="22"/>
          <w:lang w:val="el-GR"/>
        </w:rPr>
        <w:t>Ο ΕΟΠΥΥ υλοποίησε με μηδενικό κόστος, τον φάκελο ασφάλισης υγείας, μία από τις σημαντικότερες εφαρμογές για τους ασφαλισμένους αλλά και τις υπηρεσίες του Οργανισμού. Η η</w:t>
      </w:r>
      <w:r w:rsidR="0058759C" w:rsidRPr="00827975">
        <w:rPr>
          <w:rFonts w:asciiTheme="majorHAnsi" w:hAnsiTheme="majorHAnsi"/>
          <w:sz w:val="22"/>
          <w:lang w:val="el-GR"/>
        </w:rPr>
        <w:t>λεκτρονική εφαρμογή</w:t>
      </w:r>
      <w:r>
        <w:rPr>
          <w:rFonts w:asciiTheme="majorHAnsi" w:hAnsiTheme="majorHAnsi"/>
          <w:sz w:val="22"/>
          <w:lang w:val="el-GR"/>
        </w:rPr>
        <w:t xml:space="preserve"> βρίσκεται σε λειτουργία και </w:t>
      </w:r>
      <w:r w:rsidR="0058759C" w:rsidRPr="00827975">
        <w:rPr>
          <w:rFonts w:asciiTheme="majorHAnsi" w:hAnsiTheme="majorHAnsi"/>
          <w:sz w:val="22"/>
          <w:lang w:val="el-GR"/>
        </w:rPr>
        <w:t xml:space="preserve">περιέχει τα πλήρη στοιχεία σε ότι αφορά οποιαδήποτε </w:t>
      </w:r>
      <w:r>
        <w:rPr>
          <w:rFonts w:asciiTheme="majorHAnsi" w:hAnsiTheme="majorHAnsi"/>
          <w:sz w:val="22"/>
          <w:lang w:val="el-GR"/>
        </w:rPr>
        <w:t>υπηρεσία υγείας</w:t>
      </w:r>
      <w:r w:rsidR="0058759C" w:rsidRPr="00827975">
        <w:rPr>
          <w:rFonts w:asciiTheme="majorHAnsi" w:hAnsiTheme="majorHAnsi"/>
          <w:sz w:val="22"/>
          <w:lang w:val="el-GR"/>
        </w:rPr>
        <w:t xml:space="preserve"> έχει καλύψει ο ΕΟΠΥΥ για τον ασφαλισμένο όπως: νοσηλεία, ιατρική επίσκεψη, διαγνωστικές εξετάσεις, φάρμακα κτλ.</w:t>
      </w:r>
      <w:r w:rsidR="005F47AE" w:rsidRPr="00827975">
        <w:rPr>
          <w:rFonts w:asciiTheme="majorHAnsi" w:hAnsiTheme="majorHAnsi"/>
          <w:sz w:val="22"/>
          <w:lang w:val="el-GR"/>
        </w:rPr>
        <w:t>, ενώ αναμένεται και η ενσωμάτωση των αποτελεσμάτων από τις διαγνωστικές εξετάσεις.</w:t>
      </w:r>
      <w:r w:rsidR="00711E28" w:rsidRPr="00827975">
        <w:rPr>
          <w:rFonts w:asciiTheme="majorHAnsi" w:hAnsiTheme="majorHAnsi"/>
          <w:sz w:val="22"/>
          <w:lang w:val="el-GR"/>
        </w:rPr>
        <w:t xml:space="preserve"> </w:t>
      </w:r>
      <w:r w:rsidR="0058759C" w:rsidRPr="00827975">
        <w:rPr>
          <w:rFonts w:asciiTheme="majorHAnsi" w:hAnsiTheme="majorHAnsi"/>
          <w:sz w:val="22"/>
          <w:lang w:val="el-GR"/>
        </w:rPr>
        <w:t xml:space="preserve">Πρόσβαση στο φάκελο έχει ο ίδιος ο ασφαλισμένος μέσω προσωπικών κωδικών και αυστηρά εξουσιοδοτημένο </w:t>
      </w:r>
      <w:r w:rsidR="0058759C" w:rsidRPr="00827975">
        <w:rPr>
          <w:rFonts w:asciiTheme="majorHAnsi" w:hAnsiTheme="majorHAnsi"/>
          <w:sz w:val="22"/>
          <w:lang w:val="el-GR"/>
        </w:rPr>
        <w:lastRenderedPageBreak/>
        <w:t>προσωπικό του ΕΟΠΥΥ με πλήρη διασφάλιση του απορρήτου των προσωπικών δεδομένων. Το έργο πραγματοποιήθηκε με ίδια μέσα από τις Δ/νσεις Στρατηγικού Σχεδιασμού και Πληροφορικής του ΕΟΠΥΥ χωρίς να απαιτηθεί διαγωνισμός και η ανάληψη του έργου από τρίτους. Τα οφέλη από τη λειτουργία του φακέλου ασφάλισης υγείας είναι πολλαπλά σε επίπεδο ασφαλισμένου (άμεση πρόσβαση σε όλο το ιστορικό</w:t>
      </w:r>
      <w:r w:rsidR="00B20A0B" w:rsidRPr="00827975">
        <w:rPr>
          <w:rFonts w:asciiTheme="majorHAnsi" w:hAnsiTheme="majorHAnsi"/>
          <w:sz w:val="22"/>
          <w:lang w:val="el-GR"/>
        </w:rPr>
        <w:t>, έλεγχος όλων των χρεώσεων κλπ)</w:t>
      </w:r>
      <w:r w:rsidR="0058759C" w:rsidRPr="00827975">
        <w:rPr>
          <w:rFonts w:asciiTheme="majorHAnsi" w:hAnsiTheme="majorHAnsi"/>
          <w:sz w:val="22"/>
          <w:lang w:val="el-GR"/>
        </w:rPr>
        <w:t xml:space="preserve"> αλλά και Οργανισμού</w:t>
      </w:r>
      <w:r w:rsidR="00B20A0B" w:rsidRPr="00827975">
        <w:rPr>
          <w:rFonts w:asciiTheme="majorHAnsi" w:hAnsiTheme="majorHAnsi"/>
          <w:sz w:val="22"/>
          <w:lang w:val="el-GR"/>
        </w:rPr>
        <w:t xml:space="preserve"> (αποτύπωση συνολικής και ανά άξονα συμπεριφοράς των παρόχων σε πραγματικό χρόνο, εφαρμογή συνδυαστικών μηχανογραφικών ελέγχων για εντοπισμό αποκλινουσών συμπεριφορών, δυνατότητα στοχευμένων ελέγχων κλπ)</w:t>
      </w:r>
      <w:r w:rsidR="0058759C" w:rsidRPr="00827975">
        <w:rPr>
          <w:rFonts w:asciiTheme="majorHAnsi" w:hAnsiTheme="majorHAnsi"/>
          <w:sz w:val="22"/>
          <w:lang w:val="el-GR"/>
        </w:rPr>
        <w:t>.</w:t>
      </w:r>
    </w:p>
    <w:p w14:paraId="7F37FA19" w14:textId="77777777" w:rsidR="0063494E" w:rsidRPr="00827975" w:rsidRDefault="0063494E" w:rsidP="00827975">
      <w:pPr>
        <w:pStyle w:val="a4"/>
        <w:spacing w:before="120" w:after="120" w:line="360" w:lineRule="auto"/>
        <w:jc w:val="both"/>
        <w:rPr>
          <w:rFonts w:asciiTheme="majorHAnsi" w:hAnsiTheme="majorHAnsi"/>
          <w:color w:val="365F91" w:themeColor="accent1" w:themeShade="BF"/>
          <w:sz w:val="22"/>
          <w:u w:val="single"/>
          <w:lang w:val="el-GR"/>
        </w:rPr>
      </w:pPr>
    </w:p>
    <w:p w14:paraId="61F28763" w14:textId="7477CCB6" w:rsidR="00B20A0B" w:rsidRPr="00827975" w:rsidRDefault="00AC3725" w:rsidP="00827975">
      <w:pPr>
        <w:pStyle w:val="a4"/>
        <w:spacing w:before="120" w:after="120" w:line="360" w:lineRule="auto"/>
        <w:rPr>
          <w:rFonts w:asciiTheme="majorHAnsi" w:hAnsiTheme="majorHAnsi" w:cs="Tahoma"/>
          <w:color w:val="365F91" w:themeColor="accent1" w:themeShade="BF"/>
          <w:sz w:val="22"/>
          <w:u w:val="single"/>
          <w:lang w:val="el-GR"/>
        </w:rPr>
      </w:pPr>
      <w:r>
        <w:rPr>
          <w:rFonts w:asciiTheme="majorHAnsi" w:hAnsiTheme="majorHAnsi" w:cs="Tahoma"/>
          <w:color w:val="365F91" w:themeColor="accent1" w:themeShade="BF"/>
          <w:sz w:val="22"/>
          <w:u w:val="single"/>
          <w:lang w:val="el-GR"/>
        </w:rPr>
        <w:t>Έλεγχος απαιτήσεων ιδιωτών παρόχων υγειονομικών υπηρεσιών, έτη 2014-2015</w:t>
      </w:r>
    </w:p>
    <w:p w14:paraId="2102D410" w14:textId="16FFBEC9" w:rsidR="00827975" w:rsidRPr="00827975" w:rsidRDefault="00DF29E9" w:rsidP="009B7BD7">
      <w:pPr>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Σε συνεργασία με ιδιωτικούς </w:t>
      </w:r>
      <w:r w:rsidR="00624898" w:rsidRPr="00827975">
        <w:rPr>
          <w:rFonts w:asciiTheme="majorHAnsi" w:hAnsiTheme="majorHAnsi"/>
          <w:sz w:val="22"/>
          <w:lang w:val="el-GR"/>
        </w:rPr>
        <w:t xml:space="preserve">ελεγκτικούς </w:t>
      </w:r>
      <w:r w:rsidRPr="00827975">
        <w:rPr>
          <w:rFonts w:asciiTheme="majorHAnsi" w:hAnsiTheme="majorHAnsi"/>
          <w:sz w:val="22"/>
          <w:lang w:val="el-GR"/>
        </w:rPr>
        <w:t>φορείς και μέχρι την ανάπτυξη της τεχνογνωσία</w:t>
      </w:r>
      <w:r w:rsidR="00624898" w:rsidRPr="00827975">
        <w:rPr>
          <w:rFonts w:asciiTheme="majorHAnsi" w:hAnsiTheme="majorHAnsi"/>
          <w:sz w:val="22"/>
          <w:lang w:val="el-GR"/>
        </w:rPr>
        <w:t>ς</w:t>
      </w:r>
      <w:r w:rsidRPr="00827975">
        <w:rPr>
          <w:rFonts w:asciiTheme="majorHAnsi" w:hAnsiTheme="majorHAnsi"/>
          <w:sz w:val="22"/>
          <w:lang w:val="el-GR"/>
        </w:rPr>
        <w:t xml:space="preserve"> και των διαδικασιών από τις υπηρεσίες του ΕΟΠΥΥ, </w:t>
      </w:r>
      <w:r w:rsidR="0002263C" w:rsidRPr="00827975">
        <w:rPr>
          <w:rFonts w:asciiTheme="majorHAnsi" w:hAnsiTheme="majorHAnsi"/>
          <w:sz w:val="22"/>
          <w:lang w:val="el-GR"/>
        </w:rPr>
        <w:t xml:space="preserve">θεσμοθετήθηκε και </w:t>
      </w:r>
      <w:r w:rsidR="00146F21" w:rsidRPr="00827975">
        <w:rPr>
          <w:rFonts w:asciiTheme="majorHAnsi" w:hAnsiTheme="majorHAnsi"/>
          <w:sz w:val="22"/>
          <w:lang w:val="el-GR"/>
        </w:rPr>
        <w:t>πραγματοποιήθηκε κλινικός</w:t>
      </w:r>
      <w:r w:rsidR="0002263C" w:rsidRPr="00827975">
        <w:rPr>
          <w:rFonts w:asciiTheme="majorHAnsi" w:hAnsiTheme="majorHAnsi"/>
          <w:sz w:val="22"/>
          <w:lang w:val="el-GR"/>
        </w:rPr>
        <w:t xml:space="preserve"> και διοικητικό-οικονομικός </w:t>
      </w:r>
      <w:r w:rsidRPr="00827975">
        <w:rPr>
          <w:rFonts w:asciiTheme="majorHAnsi" w:hAnsiTheme="majorHAnsi"/>
          <w:sz w:val="22"/>
          <w:lang w:val="el-GR"/>
        </w:rPr>
        <w:t>έλεγχος των απαιτήσεων που υπέβαλλαν οι πάροχοι</w:t>
      </w:r>
      <w:r w:rsidR="0002263C" w:rsidRPr="00827975">
        <w:rPr>
          <w:rFonts w:asciiTheme="majorHAnsi" w:hAnsiTheme="majorHAnsi"/>
          <w:sz w:val="22"/>
          <w:lang w:val="el-GR"/>
        </w:rPr>
        <w:t xml:space="preserve"> (ιδιωτικές κλινικές)</w:t>
      </w:r>
      <w:r w:rsidRPr="00827975">
        <w:rPr>
          <w:rFonts w:asciiTheme="majorHAnsi" w:hAnsiTheme="majorHAnsi"/>
          <w:sz w:val="22"/>
          <w:lang w:val="el-GR"/>
        </w:rPr>
        <w:t xml:space="preserve"> για το έτος 2013. </w:t>
      </w:r>
      <w:r w:rsidR="00685652" w:rsidRPr="00827975">
        <w:rPr>
          <w:rFonts w:asciiTheme="majorHAnsi" w:hAnsiTheme="majorHAnsi"/>
          <w:sz w:val="22"/>
          <w:lang w:val="el-GR"/>
        </w:rPr>
        <w:t>Ως προς την ουσία των αποτελεσμάτων των ελέγχων</w:t>
      </w:r>
      <w:r w:rsidR="00146F21" w:rsidRPr="00827975">
        <w:rPr>
          <w:rFonts w:asciiTheme="majorHAnsi" w:hAnsiTheme="majorHAnsi"/>
          <w:sz w:val="22"/>
          <w:lang w:val="el-GR"/>
        </w:rPr>
        <w:t>,</w:t>
      </w:r>
      <w:r w:rsidR="00685652" w:rsidRPr="00827975">
        <w:rPr>
          <w:rFonts w:asciiTheme="majorHAnsi" w:hAnsiTheme="majorHAnsi"/>
          <w:sz w:val="22"/>
          <w:lang w:val="el-GR"/>
        </w:rPr>
        <w:t xml:space="preserve"> σε επίπεδο εξοικονόμησης κόστους για τον ΕΟΠΥΥ, μόνο για την κατηγορία παρόχων «Γενικές Κλινικές» σε σύνολο </w:t>
      </w:r>
      <w:r w:rsidR="00685652" w:rsidRPr="00827975">
        <w:rPr>
          <w:rFonts w:asciiTheme="majorHAnsi" w:hAnsiTheme="majorHAnsi" w:cs="Arial"/>
          <w:sz w:val="22"/>
          <w:lang w:val="el-GR"/>
        </w:rPr>
        <w:t>315.739.914 €</w:t>
      </w:r>
      <w:r w:rsidR="00685652" w:rsidRPr="00827975">
        <w:rPr>
          <w:rFonts w:asciiTheme="majorHAnsi" w:hAnsiTheme="majorHAnsi"/>
          <w:sz w:val="22"/>
          <w:lang w:val="el-GR"/>
        </w:rPr>
        <w:t xml:space="preserve"> υποβληθεισών χρεώσεων, υπήρξαν προτεινόμενες περικοπές ύψους </w:t>
      </w:r>
      <w:r w:rsidR="00685652" w:rsidRPr="00827975">
        <w:rPr>
          <w:rFonts w:asciiTheme="majorHAnsi" w:eastAsia="Times New Roman" w:hAnsiTheme="majorHAnsi" w:cs="Arial"/>
          <w:sz w:val="22"/>
          <w:lang w:val="el-GR"/>
        </w:rPr>
        <w:t xml:space="preserve">41.000.000 €. </w:t>
      </w:r>
      <w:r w:rsidR="00685652" w:rsidRPr="00827975">
        <w:rPr>
          <w:rFonts w:asciiTheme="majorHAnsi" w:hAnsiTheme="majorHAnsi"/>
          <w:sz w:val="22"/>
          <w:lang w:val="el-GR"/>
        </w:rPr>
        <w:t>Σε ποσοστό, οι περικοπές από τον ιατρικό έλεγχο ήταν περίπου 13 % επί των υποβληθεισών χρεώσεων, ενώ από τον διοικητικό 1 %</w:t>
      </w:r>
      <w:r w:rsidR="00B83221">
        <w:rPr>
          <w:rFonts w:asciiTheme="majorHAnsi" w:hAnsiTheme="majorHAnsi"/>
          <w:sz w:val="22"/>
          <w:lang w:val="el-GR"/>
        </w:rPr>
        <w:t xml:space="preserve">. </w:t>
      </w:r>
      <w:r w:rsidR="00B83221" w:rsidRPr="00827975">
        <w:rPr>
          <w:rFonts w:asciiTheme="majorHAnsi" w:hAnsiTheme="majorHAnsi"/>
          <w:sz w:val="22"/>
          <w:lang w:val="el-GR"/>
        </w:rPr>
        <w:t>Στο πλαίσιο των άμεσων υποχρεώσεων του Οργανισμού σχετικά με την εκκαθάριση των υποβληθεισών χρεώσεων από τους Ιδιώτες Παρόχους κατά το παρελθόν και το τρέχον έτος, προτείνεται να ακολουθηθεί η εξής διαδικασία η οποία θα αξιοποιήσει την εν λόγω εμπειρία, βελτιώνοντας την αποτελεσματικότητα και αποδοτικότητα της εν γένει ελεγκτικής λειτουργίας των παροχών υγείας του Οργανισμού. Με δεδομένο ότι σχεδόν όλη η περικοπή δαπανών προέρχεται από τον Ιατρικό έλεγχο (93% του συνόλου) προτείνεται ο ιατρικός έλεγχος να γίνει μόνο από τις εξειδικευμένες Ιατρικές Ελεγκτικές Εταιρείες, καθώς θα μειωθεί δραστικά ο χρόνος αλλά και το κόστος του ελέγχου, ενώ θα εξασφαλισθεί η συνέχεια και η εφαρμογή στην πράξη των ίδιων κριτηρίων, βάσει των οποίων ελέγχθησαν οι υποβολές του 2013. Η Διοικητική εκκαθάριση να γίνεται από τις υπηρε</w:t>
      </w:r>
      <w:r w:rsidR="00111E8C">
        <w:rPr>
          <w:rFonts w:asciiTheme="majorHAnsi" w:hAnsiTheme="majorHAnsi"/>
          <w:sz w:val="22"/>
          <w:lang w:val="el-GR"/>
        </w:rPr>
        <w:t xml:space="preserve">σίες του ΕΟΠΥΥ σε όλη την χώρα. </w:t>
      </w:r>
      <w:r w:rsidR="00B83221" w:rsidRPr="00827975">
        <w:rPr>
          <w:rFonts w:asciiTheme="majorHAnsi" w:hAnsiTheme="majorHAnsi"/>
          <w:sz w:val="22"/>
          <w:lang w:val="el-GR"/>
        </w:rPr>
        <w:t>Ο ΕΟΠΥΥ να συνεχίσει να έχει όλες τις επιτελούμενες ελεγκτικές λειτουργίες υπό την εποπτεία του, προσδιορίζοντας το πλαίσιο και τις κατευθύνσεις του ελεγκτικού έργου.</w:t>
      </w:r>
      <w:r w:rsidR="00827975" w:rsidRPr="00827975">
        <w:rPr>
          <w:rFonts w:asciiTheme="majorHAnsi" w:hAnsiTheme="majorHAnsi"/>
          <w:sz w:val="22"/>
          <w:lang w:val="el-GR"/>
        </w:rPr>
        <w:br w:type="page"/>
      </w:r>
    </w:p>
    <w:p w14:paraId="74BCC2CB" w14:textId="77777777" w:rsidR="00485A3A" w:rsidRPr="00827975" w:rsidRDefault="00485A3A" w:rsidP="00827975">
      <w:pPr>
        <w:spacing w:before="120" w:after="120" w:line="360" w:lineRule="auto"/>
        <w:jc w:val="both"/>
        <w:rPr>
          <w:rFonts w:asciiTheme="majorHAnsi" w:hAnsiTheme="majorHAnsi"/>
          <w:sz w:val="22"/>
          <w:lang w:val="el-GR"/>
        </w:rPr>
      </w:pPr>
    </w:p>
    <w:p w14:paraId="4CE0F093" w14:textId="77777777" w:rsidR="00485A3A" w:rsidRPr="00827975" w:rsidRDefault="00485A3A" w:rsidP="00827975">
      <w:pPr>
        <w:shd w:val="clear" w:color="auto" w:fill="DBE5F1" w:themeFill="accent1" w:themeFillTint="33"/>
        <w:spacing w:before="120" w:after="120" w:line="360" w:lineRule="auto"/>
        <w:jc w:val="both"/>
        <w:rPr>
          <w:rFonts w:asciiTheme="majorHAnsi" w:hAnsiTheme="majorHAnsi"/>
          <w:b/>
          <w:color w:val="E36C0A" w:themeColor="accent6" w:themeShade="BF"/>
          <w:sz w:val="22"/>
          <w:lang w:val="el-GR"/>
        </w:rPr>
      </w:pPr>
      <w:r w:rsidRPr="00827975">
        <w:rPr>
          <w:rFonts w:asciiTheme="majorHAnsi" w:hAnsiTheme="majorHAnsi"/>
          <w:b/>
          <w:color w:val="E36C0A" w:themeColor="accent6" w:themeShade="BF"/>
          <w:sz w:val="22"/>
          <w:lang w:val="el-GR"/>
        </w:rPr>
        <w:t xml:space="preserve">Ο ρόλος του ΕΟΠΥΥ στην Ευρώπη </w:t>
      </w:r>
    </w:p>
    <w:p w14:paraId="4F42A0DA" w14:textId="77777777" w:rsidR="00210B99" w:rsidRDefault="00210B99" w:rsidP="00827975">
      <w:pPr>
        <w:spacing w:before="120" w:after="120" w:line="360" w:lineRule="auto"/>
        <w:jc w:val="both"/>
        <w:rPr>
          <w:rFonts w:asciiTheme="majorHAnsi" w:hAnsiTheme="majorHAnsi"/>
          <w:sz w:val="22"/>
          <w:lang w:val="el-GR"/>
        </w:rPr>
      </w:pPr>
    </w:p>
    <w:p w14:paraId="680E89BB" w14:textId="6C7A0AF2" w:rsidR="00485A3A" w:rsidRPr="00827975" w:rsidRDefault="00485A3A" w:rsidP="00827975">
      <w:pPr>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Ο ΕΟΠΥΥ υλοποιεί όλες τις απαραίτητες ενέργειες ώστε οι έλληνες ασφαλισμένοι που ταξιδεύουν σε χώρες της Ε.Ε. να δεχτούν υπηρεσίες έκτακτης και αναγκαίας περίθαλψης από ευρωπαϊκούς φορείς με την Ευρωπαϊκή Κάρτα ασφάλισης ασθενείας, και κατά αντίστοιχο τρόπο οργανώνει την παροχή υπηρεσιών σε ευρωπαϊους ασφαλισμένους στη χώρα μας.  </w:t>
      </w:r>
    </w:p>
    <w:p w14:paraId="51888A6E" w14:textId="77777777" w:rsidR="00485A3A" w:rsidRPr="00827975" w:rsidRDefault="00485A3A" w:rsidP="00827975">
      <w:pPr>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Επίσης, συμμετέχει, </w:t>
      </w:r>
      <w:r w:rsidRPr="00827975">
        <w:rPr>
          <w:rFonts w:asciiTheme="majorHAnsi" w:eastAsia="Times New Roman" w:hAnsiTheme="majorHAnsi"/>
          <w:sz w:val="22"/>
          <w:lang w:val="el-GR" w:eastAsia="el-GR"/>
        </w:rPr>
        <w:t>στο Ευρωπαϊκό μη κερδοσκοπικό Δίκτυο για την καταπολέμηση της Απάτης και της Διαφθοράς στο χώρο της Υγείας –</w:t>
      </w:r>
      <w:r w:rsidRPr="00827975">
        <w:rPr>
          <w:rFonts w:asciiTheme="majorHAnsi" w:hAnsiTheme="majorHAnsi"/>
          <w:sz w:val="22"/>
          <w:lang w:val="el-GR"/>
        </w:rPr>
        <w:t xml:space="preserve"> </w:t>
      </w:r>
      <w:r w:rsidRPr="00827975">
        <w:rPr>
          <w:rFonts w:asciiTheme="majorHAnsi" w:hAnsiTheme="majorHAnsi"/>
          <w:sz w:val="22"/>
        </w:rPr>
        <w:t>EHFCN</w:t>
      </w:r>
      <w:r w:rsidRPr="00827975">
        <w:rPr>
          <w:rFonts w:asciiTheme="majorHAnsi" w:hAnsiTheme="majorHAnsi"/>
          <w:sz w:val="22"/>
          <w:lang w:val="el-GR"/>
        </w:rPr>
        <w:t xml:space="preserve"> </w:t>
      </w:r>
      <w:r w:rsidRPr="00827975">
        <w:rPr>
          <w:rFonts w:asciiTheme="majorHAnsi" w:hAnsiTheme="majorHAnsi"/>
          <w:bCs/>
          <w:sz w:val="22"/>
          <w:lang w:val="el-GR"/>
        </w:rPr>
        <w:t>και σε</w:t>
      </w:r>
      <w:r w:rsidRPr="00827975">
        <w:rPr>
          <w:rFonts w:asciiTheme="majorHAnsi" w:hAnsiTheme="majorHAnsi"/>
          <w:sz w:val="22"/>
          <w:lang w:val="el-GR"/>
        </w:rPr>
        <w:t xml:space="preserve"> Ομάδα Εργασίας του Υπουργείου Υγείας για την εκπόνηση ολοκληρωμένου σχεδίου για την καταπολέμηση της διαφθοράς στον τομέα της Υγείας.</w:t>
      </w:r>
    </w:p>
    <w:p w14:paraId="026182C5" w14:textId="6A8EBE54" w:rsidR="00E6223A" w:rsidRPr="00827975" w:rsidRDefault="00E6223A" w:rsidP="00827975">
      <w:pPr>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Ο ΕΟΠΥΥ έχει συνάψει συμφωνία πλαίσιο με το </w:t>
      </w:r>
      <w:r w:rsidRPr="00827975">
        <w:rPr>
          <w:rFonts w:asciiTheme="majorHAnsi" w:hAnsiTheme="majorHAnsi" w:cs="Tahoma"/>
          <w:sz w:val="22"/>
        </w:rPr>
        <w:t>RIZIN</w:t>
      </w:r>
      <w:r w:rsidRPr="00827975">
        <w:rPr>
          <w:rFonts w:asciiTheme="majorHAnsi" w:hAnsiTheme="majorHAnsi" w:cs="Tahoma"/>
          <w:sz w:val="22"/>
          <w:lang w:val="el-GR"/>
        </w:rPr>
        <w:t xml:space="preserve">- </w:t>
      </w:r>
      <w:r w:rsidRPr="00827975">
        <w:rPr>
          <w:rFonts w:asciiTheme="majorHAnsi" w:hAnsiTheme="majorHAnsi" w:cs="Tahoma"/>
          <w:sz w:val="22"/>
        </w:rPr>
        <w:t>INAMI</w:t>
      </w:r>
      <w:r w:rsidRPr="00827975">
        <w:rPr>
          <w:rFonts w:asciiTheme="majorHAnsi" w:hAnsiTheme="majorHAnsi" w:cs="Tahoma"/>
          <w:sz w:val="22"/>
          <w:lang w:val="el-GR"/>
        </w:rPr>
        <w:t>-</w:t>
      </w:r>
      <w:r w:rsidRPr="00827975">
        <w:rPr>
          <w:rFonts w:asciiTheme="majorHAnsi" w:hAnsiTheme="majorHAnsi" w:cs="Tahoma"/>
          <w:sz w:val="22"/>
        </w:rPr>
        <w:t>NIHDI</w:t>
      </w:r>
      <w:r w:rsidR="00A81FF0" w:rsidRPr="00C14703">
        <w:rPr>
          <w:rFonts w:asciiTheme="majorHAnsi" w:hAnsiTheme="majorHAnsi" w:cs="Tahoma"/>
          <w:sz w:val="22"/>
          <w:lang w:val="el-GR"/>
        </w:rPr>
        <w:t xml:space="preserve"> (Οργανισμός Περίθαλψης Υγείας του Βελγίου)</w:t>
      </w:r>
      <w:r w:rsidR="000D3204" w:rsidRPr="00827975">
        <w:rPr>
          <w:rFonts w:asciiTheme="majorHAnsi" w:hAnsiTheme="majorHAnsi" w:cs="Tahoma"/>
          <w:sz w:val="22"/>
          <w:lang w:val="el-GR"/>
        </w:rPr>
        <w:t xml:space="preserve"> για την παροχή τεχνογνωσίας</w:t>
      </w:r>
      <w:r w:rsidR="00BC70BF" w:rsidRPr="00827975">
        <w:rPr>
          <w:rFonts w:asciiTheme="majorHAnsi" w:hAnsiTheme="majorHAnsi" w:cs="Tahoma"/>
          <w:sz w:val="22"/>
          <w:lang w:val="el-GR"/>
        </w:rPr>
        <w:t xml:space="preserve"> και την ανταλλαγή καλών πρακτικών</w:t>
      </w:r>
      <w:r w:rsidR="000D3204" w:rsidRPr="00827975">
        <w:rPr>
          <w:rFonts w:asciiTheme="majorHAnsi" w:hAnsiTheme="majorHAnsi" w:cs="Tahoma"/>
          <w:sz w:val="22"/>
          <w:lang w:val="el-GR"/>
        </w:rPr>
        <w:t>, δίχως να προκαλείται καμία δαπάνη για τον προϋπολογισμό του Οργανισμού.</w:t>
      </w:r>
    </w:p>
    <w:p w14:paraId="688B321A" w14:textId="7E338B5A" w:rsidR="00485A3A" w:rsidRPr="00827975" w:rsidRDefault="00485A3A" w:rsidP="00827975">
      <w:pPr>
        <w:spacing w:before="120" w:after="120" w:line="360" w:lineRule="auto"/>
        <w:jc w:val="both"/>
        <w:rPr>
          <w:rFonts w:asciiTheme="majorHAnsi" w:hAnsiTheme="majorHAnsi"/>
          <w:sz w:val="22"/>
          <w:lang w:val="el-GR"/>
        </w:rPr>
      </w:pPr>
      <w:r w:rsidRPr="00827975">
        <w:rPr>
          <w:rFonts w:asciiTheme="majorHAnsi" w:hAnsiTheme="majorHAnsi"/>
          <w:sz w:val="22"/>
          <w:lang w:val="el-GR"/>
        </w:rPr>
        <w:t xml:space="preserve">Τέλος, ο ΕΟΠΥΥ ανταποκρίνεται σε αρμοδιότητες και ρόλους έναντι των Ευρωπαϊκών Οργάνων, που προκύπτουν από την εφαρμογή των αντίστοιχων Κανονισμών ή Οδηγιών σε επίπεδο εθνικής εκπροσώπησης όσον αφορά στη χορήγηση παροχών ασθενείας σε είδος σε όλους τους διακινούμενους Ευρωπαίους ασφαλισμένους, καθώς και στη διαχείριση του μηχανισμού απόδοσης δαπανών υγειονομικής περίθαλψης από και προς τα κράτη-μέλη της Ευρωπαϊκής Ένωσης, τις χώρες του ΕΟΧ και την Ελβετία.  </w:t>
      </w:r>
    </w:p>
    <w:p w14:paraId="04DD4596" w14:textId="77777777" w:rsidR="006C040D" w:rsidRPr="00827975" w:rsidRDefault="006C040D" w:rsidP="00827975">
      <w:pPr>
        <w:pStyle w:val="Default"/>
        <w:spacing w:before="120" w:after="120" w:line="360" w:lineRule="auto"/>
        <w:jc w:val="both"/>
        <w:rPr>
          <w:rFonts w:asciiTheme="majorHAnsi" w:hAnsiTheme="majorHAnsi" w:cs="Tahoma"/>
          <w:sz w:val="22"/>
          <w:szCs w:val="22"/>
        </w:rPr>
      </w:pPr>
    </w:p>
    <w:p w14:paraId="2AE4988C" w14:textId="77777777" w:rsidR="00827975" w:rsidRPr="00827975" w:rsidRDefault="00827975" w:rsidP="00827975">
      <w:pPr>
        <w:spacing w:before="120" w:after="120" w:line="360" w:lineRule="auto"/>
        <w:rPr>
          <w:rFonts w:asciiTheme="majorHAnsi" w:eastAsiaTheme="minorHAnsi" w:hAnsiTheme="majorHAnsi" w:cs="Tahoma"/>
          <w:color w:val="365F91" w:themeColor="accent1" w:themeShade="BF"/>
          <w:sz w:val="22"/>
          <w:highlight w:val="yellow"/>
          <w:lang w:val="el-GR"/>
        </w:rPr>
      </w:pPr>
      <w:r w:rsidRPr="00FC789E">
        <w:rPr>
          <w:rFonts w:asciiTheme="majorHAnsi" w:hAnsiTheme="majorHAnsi" w:cs="Tahoma"/>
          <w:color w:val="365F91" w:themeColor="accent1" w:themeShade="BF"/>
          <w:sz w:val="22"/>
          <w:highlight w:val="yellow"/>
          <w:lang w:val="el-GR"/>
        </w:rPr>
        <w:br w:type="page"/>
      </w:r>
    </w:p>
    <w:p w14:paraId="4616831D" w14:textId="0889D608" w:rsidR="00257B88" w:rsidRPr="00827975" w:rsidRDefault="006C040D" w:rsidP="00827975">
      <w:pPr>
        <w:pStyle w:val="Default"/>
        <w:shd w:val="clear" w:color="auto" w:fill="DBE5F1" w:themeFill="accent1" w:themeFillTint="33"/>
        <w:spacing w:before="120" w:after="120" w:line="360" w:lineRule="auto"/>
        <w:jc w:val="both"/>
        <w:rPr>
          <w:rFonts w:asciiTheme="majorHAnsi" w:hAnsiTheme="majorHAnsi" w:cs="Tahoma"/>
          <w:color w:val="365F91" w:themeColor="accent1" w:themeShade="BF"/>
          <w:sz w:val="22"/>
          <w:szCs w:val="22"/>
        </w:rPr>
      </w:pPr>
      <w:r w:rsidRPr="00554552">
        <w:rPr>
          <w:rFonts w:asciiTheme="majorHAnsi" w:hAnsiTheme="majorHAnsi" w:cs="Tahoma"/>
          <w:color w:val="365F91" w:themeColor="accent1" w:themeShade="BF"/>
          <w:sz w:val="22"/>
          <w:szCs w:val="22"/>
        </w:rPr>
        <w:lastRenderedPageBreak/>
        <w:t>Ενίσχυση Ελεγκτικού Μηχανισμού</w:t>
      </w:r>
      <w:r w:rsidR="001E208D" w:rsidRPr="00554552">
        <w:rPr>
          <w:rFonts w:asciiTheme="majorHAnsi" w:hAnsiTheme="majorHAnsi" w:cs="Tahoma"/>
          <w:color w:val="365F91" w:themeColor="accent1" w:themeShade="BF"/>
          <w:sz w:val="22"/>
          <w:szCs w:val="22"/>
        </w:rPr>
        <w:t xml:space="preserve"> (2014?)</w:t>
      </w:r>
    </w:p>
    <w:p w14:paraId="502C4025" w14:textId="77777777" w:rsidR="00B83221" w:rsidRDefault="00B83221" w:rsidP="00827975">
      <w:pPr>
        <w:spacing w:before="120" w:after="120" w:line="360" w:lineRule="auto"/>
        <w:jc w:val="both"/>
        <w:rPr>
          <w:rFonts w:asciiTheme="majorHAnsi" w:hAnsiTheme="majorHAnsi"/>
          <w:sz w:val="22"/>
          <w:lang w:val="el-GR"/>
        </w:rPr>
      </w:pPr>
    </w:p>
    <w:p w14:paraId="1FBFFD32" w14:textId="77777777" w:rsidR="00610B0E" w:rsidRDefault="006C040D" w:rsidP="00827975">
      <w:pPr>
        <w:spacing w:before="120" w:after="120" w:line="360" w:lineRule="auto"/>
        <w:jc w:val="both"/>
        <w:rPr>
          <w:rFonts w:asciiTheme="majorHAnsi" w:hAnsiTheme="majorHAnsi"/>
          <w:sz w:val="22"/>
          <w:lang w:val="el-GR"/>
        </w:rPr>
      </w:pPr>
      <w:r w:rsidRPr="00827975">
        <w:rPr>
          <w:rFonts w:asciiTheme="majorHAnsi" w:hAnsiTheme="majorHAnsi"/>
          <w:sz w:val="22"/>
          <w:lang w:val="el-GR"/>
        </w:rPr>
        <w:t>Ο Ε.Ο.Π.Υ.Υ.,</w:t>
      </w:r>
      <w:r w:rsidR="001E208D" w:rsidRPr="00827975">
        <w:rPr>
          <w:rFonts w:asciiTheme="majorHAnsi" w:hAnsiTheme="majorHAnsi"/>
          <w:sz w:val="22"/>
          <w:lang w:val="el-GR"/>
        </w:rPr>
        <w:t xml:space="preserve"> σε συνεργασία με την Υπηρεσία Ελέγχου Δαπανών Υγείας Φορέων Κοινωνικής Ασφάλισης (ΥΠΕΔΥΦΚΑ), </w:t>
      </w:r>
      <w:r w:rsidRPr="00827975">
        <w:rPr>
          <w:rFonts w:asciiTheme="majorHAnsi" w:hAnsiTheme="majorHAnsi"/>
          <w:sz w:val="22"/>
          <w:lang w:val="el-GR"/>
        </w:rPr>
        <w:t>στο πλαίσιο της εξυγίανσης των οικονομικών του και της διασφάλισης του δημοσίου συμφέροντος, προέβη στην εντατικοποίηση των ελέγχων, μέσω της αξιοποίησης των δυνατοτήτων οι οποίες προκύπτουν από την αξιοποίηση των μηχανογραφικών συστημάτων. Κύριος στόχος των ενεργειών αυτών αποτελεί η ανάδειξη και απομόνωση των παραβατικών συμπεριφορών οι οποίες, μολονότι, αποτελούν μεμονωμένα περιστατικά, στοχοποιούν την κοινότητα των πα</w:t>
      </w:r>
      <w:r w:rsidR="001E208D" w:rsidRPr="00827975">
        <w:rPr>
          <w:rFonts w:asciiTheme="majorHAnsi" w:hAnsiTheme="majorHAnsi"/>
          <w:sz w:val="22"/>
          <w:lang w:val="el-GR"/>
        </w:rPr>
        <w:t>ρόχων και επαγγελματιών υγείας</w:t>
      </w:r>
      <w:r w:rsidR="002A747E">
        <w:rPr>
          <w:rFonts w:asciiTheme="majorHAnsi" w:hAnsiTheme="majorHAnsi"/>
          <w:sz w:val="22"/>
          <w:lang w:val="el-GR"/>
        </w:rPr>
        <w:t>.</w:t>
      </w:r>
    </w:p>
    <w:p w14:paraId="445A6F02" w14:textId="258DD659" w:rsidR="00610B0E" w:rsidRDefault="00610B0E" w:rsidP="00827975">
      <w:pPr>
        <w:spacing w:before="120" w:after="120" w:line="360" w:lineRule="auto"/>
        <w:jc w:val="both"/>
        <w:rPr>
          <w:rFonts w:asciiTheme="majorHAnsi" w:hAnsiTheme="majorHAnsi"/>
          <w:sz w:val="22"/>
          <w:lang w:val="el-GR"/>
        </w:rPr>
      </w:pPr>
      <w:r>
        <w:rPr>
          <w:rFonts w:asciiTheme="majorHAnsi" w:hAnsiTheme="majorHAnsi"/>
          <w:sz w:val="22"/>
          <w:lang w:val="el-GR"/>
        </w:rPr>
        <w:t>Οι συνεχείς και συντονισμένοι έλεγχοι της ΥΠΕΔΥΦΚΑ έχουν οδηγήσει στην χαρτογράφηση των κυριότερων παραβάσεων εις βάρος του Οργανισμού, υποθέσεις που συχνά αποστέλλονται στις αρμόδιες εισαγγελικές αρχές της χώρας και αφορούν:</w:t>
      </w:r>
      <w:r w:rsidR="002A747E">
        <w:rPr>
          <w:rFonts w:asciiTheme="majorHAnsi" w:hAnsiTheme="majorHAnsi"/>
          <w:sz w:val="22"/>
          <w:lang w:val="el-GR"/>
        </w:rPr>
        <w:t xml:space="preserve"> </w:t>
      </w:r>
    </w:p>
    <w:p w14:paraId="4A474F34" w14:textId="77777777" w:rsidR="00CC38EF" w:rsidRDefault="00CC38EF" w:rsidP="00827975">
      <w:pPr>
        <w:spacing w:before="120" w:after="120" w:line="360" w:lineRule="auto"/>
        <w:jc w:val="both"/>
        <w:rPr>
          <w:rFonts w:asciiTheme="majorHAnsi" w:hAnsiTheme="majorHAnsi"/>
          <w:sz w:val="22"/>
          <w:lang w:val="el-GR"/>
        </w:rPr>
      </w:pPr>
    </w:p>
    <w:p w14:paraId="0493187E" w14:textId="77777777" w:rsidR="00A141F0" w:rsidRPr="00610B0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Συνταγογράφηση φαρμάκων και διαγνωστικών εξετάσεων εν αγνοία ασφαλισμένων</w:t>
      </w:r>
    </w:p>
    <w:p w14:paraId="1A1F4A54" w14:textId="77777777" w:rsidR="00A141F0" w:rsidRPr="00610B0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Έκδοση συνταγών φαρμάκων και παραπεμπτικών διαγνωστικών εξετάσεων από ιατρούς εκτός ειδικότητας, χωρίς αιτιολόγηση</w:t>
      </w:r>
    </w:p>
    <w:p w14:paraId="3D7346F7" w14:textId="77777777" w:rsidR="00A141F0" w:rsidRPr="00610B0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Υπερσυνταγογράφηση φαρμάκων και παρακλινικών εξετάσεων</w:t>
      </w:r>
    </w:p>
    <w:p w14:paraId="0A765264" w14:textId="77777777" w:rsidR="00A141F0" w:rsidRPr="00610B0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Συνταγογράφηση χωρίς εξέταση των ασφαλισμένων</w:t>
      </w:r>
    </w:p>
    <w:p w14:paraId="784385F0" w14:textId="77777777" w:rsidR="00A141F0" w:rsidRPr="00610B0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Λανθασμένη χρέωση ΚΕΝ και επιπλέον χρεώσεις στον ΕΟΠΥΥ</w:t>
      </w:r>
    </w:p>
    <w:p w14:paraId="5176508E" w14:textId="77777777" w:rsidR="00A141F0" w:rsidRPr="00610B0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Καταχρηστικές χρεώσεις νοσηλίων σε ασφαλισμένους από ιδιωτικές κλινικές, διαγνωστικά εργαστήρια και συμβεβλημένους ιατρούς</w:t>
      </w:r>
    </w:p>
    <w:p w14:paraId="639CCC64" w14:textId="400ECA6D" w:rsidR="0088295E" w:rsidRDefault="00A141F0" w:rsidP="00CC38EF">
      <w:pPr>
        <w:numPr>
          <w:ilvl w:val="0"/>
          <w:numId w:val="31"/>
        </w:numPr>
        <w:spacing w:before="120" w:after="120" w:line="360" w:lineRule="auto"/>
        <w:ind w:left="714" w:hanging="357"/>
        <w:jc w:val="both"/>
        <w:rPr>
          <w:rFonts w:asciiTheme="majorHAnsi" w:hAnsiTheme="majorHAnsi"/>
          <w:sz w:val="22"/>
          <w:lang w:val="el-GR"/>
        </w:rPr>
      </w:pPr>
      <w:r w:rsidRPr="00610B0E">
        <w:rPr>
          <w:rFonts w:asciiTheme="majorHAnsi" w:hAnsiTheme="majorHAnsi"/>
          <w:sz w:val="22"/>
          <w:lang w:val="el-GR"/>
        </w:rPr>
        <w:t>Παραπομπή σε Κέντρα Αποκατάστασης κλειστής και ανοικτής νοσηλείας από μη ειδικούς ιατρούς και για παθήσεις που δεν προβλέπονται στην ισχύουσα νομοθεσία</w:t>
      </w:r>
    </w:p>
    <w:p w14:paraId="4D64E9C0" w14:textId="77777777" w:rsidR="00610B0E" w:rsidRDefault="00610B0E" w:rsidP="0032264A">
      <w:pPr>
        <w:spacing w:before="120" w:after="120" w:line="360" w:lineRule="auto"/>
        <w:jc w:val="both"/>
        <w:rPr>
          <w:rFonts w:asciiTheme="majorHAnsi" w:hAnsiTheme="majorHAnsi"/>
          <w:sz w:val="22"/>
          <w:lang w:val="el-GR"/>
        </w:rPr>
      </w:pPr>
    </w:p>
    <w:p w14:paraId="3266794F" w14:textId="311F9E06" w:rsidR="001E208D" w:rsidRDefault="002A747E" w:rsidP="0032264A">
      <w:pPr>
        <w:spacing w:before="120" w:after="120" w:line="360" w:lineRule="auto"/>
        <w:jc w:val="both"/>
        <w:rPr>
          <w:rFonts w:eastAsia="Calibri"/>
          <w:szCs w:val="20"/>
          <w:lang w:val="el-GR"/>
        </w:rPr>
      </w:pPr>
      <w:r>
        <w:rPr>
          <w:rFonts w:asciiTheme="majorHAnsi" w:hAnsiTheme="majorHAnsi"/>
          <w:sz w:val="22"/>
          <w:lang w:val="el-GR"/>
        </w:rPr>
        <w:t xml:space="preserve">Στο πλαίσιο </w:t>
      </w:r>
      <w:r w:rsidR="00610B0E">
        <w:rPr>
          <w:rFonts w:asciiTheme="majorHAnsi" w:hAnsiTheme="majorHAnsi"/>
          <w:sz w:val="22"/>
          <w:lang w:val="el-GR"/>
        </w:rPr>
        <w:t>των ελέγχων,</w:t>
      </w:r>
      <w:r>
        <w:rPr>
          <w:rFonts w:asciiTheme="majorHAnsi" w:hAnsiTheme="majorHAnsi"/>
          <w:sz w:val="22"/>
          <w:lang w:val="el-GR"/>
        </w:rPr>
        <w:t xml:space="preserve"> </w:t>
      </w:r>
      <w:r w:rsidR="001E208D" w:rsidRPr="00827975">
        <w:rPr>
          <w:rFonts w:asciiTheme="majorHAnsi" w:hAnsiTheme="majorHAnsi"/>
          <w:sz w:val="22"/>
          <w:lang w:val="el-GR"/>
        </w:rPr>
        <w:t>επιβλήθηκαν από την ΥΠΕΔΥΦΚΑ σε 54 παρόχους υπηρεσιών υγείας χρηματικά πρόστιμα ύψους 452.670,75 € και σε 15 παρόχους η πο</w:t>
      </w:r>
      <w:r w:rsidR="00610B0E">
        <w:rPr>
          <w:rFonts w:asciiTheme="majorHAnsi" w:hAnsiTheme="majorHAnsi"/>
          <w:sz w:val="22"/>
          <w:lang w:val="el-GR"/>
        </w:rPr>
        <w:t>ινή του προσωρινού αποκλεισμού, για το χρονικό διάστημα του α’ εξαμ</w:t>
      </w:r>
      <w:r w:rsidR="00CC38EF">
        <w:rPr>
          <w:rFonts w:asciiTheme="majorHAnsi" w:hAnsiTheme="majorHAnsi"/>
          <w:sz w:val="22"/>
          <w:lang w:val="el-GR"/>
        </w:rPr>
        <w:t xml:space="preserve">ήνου του 2015, ενώ για το 2014 επεβλήθησαν χρηματικά πρόστιμα σε 115 παρόχους, συνολικού ύψους  </w:t>
      </w:r>
      <w:r w:rsidR="00CC38EF" w:rsidRPr="00CC38EF">
        <w:rPr>
          <w:rFonts w:eastAsia="Calibri"/>
          <w:szCs w:val="20"/>
          <w:lang w:val="el-GR"/>
        </w:rPr>
        <w:t>1</w:t>
      </w:r>
      <w:r w:rsidR="00CC38EF">
        <w:rPr>
          <w:rFonts w:eastAsia="Calibri"/>
          <w:szCs w:val="20"/>
          <w:lang w:val="el-GR"/>
        </w:rPr>
        <w:t>.</w:t>
      </w:r>
      <w:r w:rsidR="00CC38EF" w:rsidRPr="00CC38EF">
        <w:rPr>
          <w:rFonts w:eastAsia="Calibri"/>
          <w:szCs w:val="20"/>
          <w:lang w:val="el-GR"/>
        </w:rPr>
        <w:t>199</w:t>
      </w:r>
      <w:r w:rsidR="00CC38EF">
        <w:rPr>
          <w:rFonts w:eastAsia="Calibri"/>
          <w:szCs w:val="20"/>
          <w:lang w:val="el-GR"/>
        </w:rPr>
        <w:t>.</w:t>
      </w:r>
      <w:r w:rsidR="00CC38EF" w:rsidRPr="00CC38EF">
        <w:rPr>
          <w:rFonts w:eastAsia="Calibri"/>
          <w:szCs w:val="20"/>
          <w:lang w:val="el-GR"/>
        </w:rPr>
        <w:t>576,67€</w:t>
      </w:r>
      <w:r w:rsidR="00CC38EF">
        <w:rPr>
          <w:rFonts w:eastAsia="Calibri"/>
          <w:szCs w:val="20"/>
          <w:lang w:val="el-GR"/>
        </w:rPr>
        <w:t>.</w:t>
      </w:r>
    </w:p>
    <w:p w14:paraId="4831676D" w14:textId="77777777" w:rsidR="00CC38EF" w:rsidRDefault="00CC38EF" w:rsidP="0032264A">
      <w:pPr>
        <w:spacing w:before="120" w:after="120" w:line="360" w:lineRule="auto"/>
        <w:jc w:val="both"/>
        <w:rPr>
          <w:rFonts w:asciiTheme="majorHAnsi" w:hAnsiTheme="majorHAnsi"/>
          <w:sz w:val="22"/>
          <w:lang w:val="el-GR"/>
        </w:rPr>
      </w:pPr>
    </w:p>
    <w:p w14:paraId="2A5998CA" w14:textId="77777777" w:rsidR="00CC38EF" w:rsidRPr="00CC38EF" w:rsidRDefault="00CC38EF" w:rsidP="0032264A">
      <w:pPr>
        <w:spacing w:before="120" w:after="120" w:line="360" w:lineRule="auto"/>
        <w:jc w:val="both"/>
        <w:rPr>
          <w:rFonts w:asciiTheme="majorHAnsi" w:hAnsiTheme="majorHAnsi"/>
          <w:sz w:val="22"/>
          <w:lang w:val="el-GR"/>
        </w:rPr>
      </w:pPr>
    </w:p>
    <w:p w14:paraId="39C76645" w14:textId="00EFE4F6" w:rsidR="00CC38EF" w:rsidRPr="00CC38EF" w:rsidRDefault="00CC38EF" w:rsidP="0032264A">
      <w:pPr>
        <w:spacing w:before="120" w:after="120" w:line="360" w:lineRule="auto"/>
        <w:jc w:val="both"/>
        <w:rPr>
          <w:rFonts w:asciiTheme="majorHAnsi" w:hAnsiTheme="majorHAnsi"/>
          <w:b/>
          <w:sz w:val="22"/>
          <w:lang w:val="el-GR"/>
        </w:rPr>
      </w:pPr>
      <w:r w:rsidRPr="0032264A">
        <w:rPr>
          <w:rFonts w:asciiTheme="majorHAnsi" w:hAnsiTheme="majorHAnsi"/>
          <w:b/>
          <w:sz w:val="22"/>
          <w:lang w:val="el-GR"/>
        </w:rPr>
        <w:lastRenderedPageBreak/>
        <w:t>Πίνακας 7. Έλεγχος παραβατικότητας, ΥΠΕΔΥΦΚΑ</w:t>
      </w:r>
      <w:r>
        <w:rPr>
          <w:rFonts w:asciiTheme="majorHAnsi" w:hAnsiTheme="majorHAnsi"/>
          <w:b/>
          <w:sz w:val="22"/>
          <w:lang w:val="el-GR"/>
        </w:rPr>
        <w:t>, 2014</w:t>
      </w:r>
    </w:p>
    <w:tbl>
      <w:tblPr>
        <w:tblStyle w:val="2-3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3402"/>
      </w:tblGrid>
      <w:tr w:rsidR="00CC38EF" w:rsidRPr="00CE27BF" w14:paraId="4F5C4709" w14:textId="77777777" w:rsidTr="00CC38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9F4118C" w14:textId="77777777" w:rsidR="00CC38EF" w:rsidRPr="00CE27BF" w:rsidRDefault="00CC38EF" w:rsidP="00CC38EF">
            <w:pPr>
              <w:jc w:val="center"/>
              <w:rPr>
                <w:rFonts w:eastAsia="Calibri"/>
                <w:szCs w:val="20"/>
              </w:rPr>
            </w:pPr>
            <w:r w:rsidRPr="00CE27BF">
              <w:rPr>
                <w:rFonts w:eastAsia="Calibri"/>
                <w:szCs w:val="20"/>
              </w:rPr>
              <w:t>ΠΑΡΟΧΟΣ ΥΠΗΡΕΣΙΩΝ ΥΓΕΙΑΣ</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D9D9D9" w:themeFill="background1" w:themeFillShade="D9"/>
          </w:tcPr>
          <w:p w14:paraId="03521269" w14:textId="77777777" w:rsidR="00CC38EF" w:rsidRPr="00CE27BF" w:rsidRDefault="00CC38EF" w:rsidP="00CC38EF">
            <w:pPr>
              <w:jc w:val="center"/>
              <w:rPr>
                <w:rFonts w:eastAsia="Calibri"/>
                <w:szCs w:val="20"/>
              </w:rPr>
            </w:pPr>
            <w:r w:rsidRPr="00CE27BF">
              <w:rPr>
                <w:rFonts w:eastAsia="Calibri"/>
                <w:szCs w:val="20"/>
              </w:rPr>
              <w:t>ΧΡΗΜΑΤΙΚΟ ΠΡΟΣΤΙΜΟ</w:t>
            </w:r>
          </w:p>
        </w:tc>
        <w:tc>
          <w:tcPr>
            <w:cnfStyle w:val="000100000000" w:firstRow="0" w:lastRow="0" w:firstColumn="0" w:lastColumn="1"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E9904DB" w14:textId="77777777" w:rsidR="00CC38EF" w:rsidRPr="00CE27BF" w:rsidRDefault="00CC38EF" w:rsidP="00CC38EF">
            <w:pPr>
              <w:jc w:val="center"/>
              <w:rPr>
                <w:rFonts w:eastAsia="Calibri"/>
                <w:szCs w:val="20"/>
              </w:rPr>
            </w:pPr>
            <w:r w:rsidRPr="00CE27BF">
              <w:rPr>
                <w:rFonts w:eastAsia="Calibri"/>
                <w:szCs w:val="20"/>
              </w:rPr>
              <w:t>ΠΡΟΣΩΡΙΝΟΣ ή ΟΡΙΣΤΙΚΟΣ ΑΠΟΚΛΕΙΣΜΟΣ</w:t>
            </w:r>
          </w:p>
        </w:tc>
      </w:tr>
      <w:tr w:rsidR="00CC38EF" w:rsidRPr="006F4540" w14:paraId="4EDE2D77" w14:textId="77777777" w:rsidTr="00CC3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221E1065" w14:textId="77777777" w:rsidR="00CC38EF" w:rsidRPr="00CE27BF" w:rsidRDefault="00CC38EF" w:rsidP="00CC38EF">
            <w:pPr>
              <w:jc w:val="both"/>
              <w:rPr>
                <w:rFonts w:eastAsia="Calibri"/>
                <w:b w:val="0"/>
                <w:szCs w:val="20"/>
              </w:rPr>
            </w:pPr>
            <w:r w:rsidRPr="00CE27BF">
              <w:rPr>
                <w:rFonts w:eastAsia="Calibri"/>
                <w:b w:val="0"/>
                <w:szCs w:val="20"/>
              </w:rPr>
              <w:t>Φαρμακεία</w:t>
            </w:r>
          </w:p>
        </w:tc>
        <w:tc>
          <w:tcPr>
            <w:cnfStyle w:val="000010000000" w:firstRow="0" w:lastRow="0" w:firstColumn="0" w:lastColumn="0" w:oddVBand="1" w:evenVBand="0" w:oddHBand="0" w:evenHBand="0" w:firstRowFirstColumn="0" w:firstRowLastColumn="0" w:lastRowFirstColumn="0" w:lastRowLastColumn="0"/>
            <w:tcW w:w="2693" w:type="dxa"/>
            <w:tcBorders>
              <w:left w:val="none" w:sz="0" w:space="0" w:color="auto"/>
              <w:right w:val="none" w:sz="0" w:space="0" w:color="auto"/>
            </w:tcBorders>
            <w:shd w:val="clear" w:color="auto" w:fill="FFFFFF" w:themeFill="background1"/>
          </w:tcPr>
          <w:p w14:paraId="7667AA49" w14:textId="77777777" w:rsidR="00CC38EF" w:rsidRPr="00CE27BF" w:rsidRDefault="00CC38EF" w:rsidP="00CC38EF">
            <w:pPr>
              <w:jc w:val="center"/>
              <w:rPr>
                <w:rFonts w:eastAsia="Calibri"/>
                <w:szCs w:val="20"/>
              </w:rPr>
            </w:pPr>
            <w:r w:rsidRPr="00CE27BF">
              <w:rPr>
                <w:rFonts w:eastAsia="Calibri"/>
                <w:szCs w:val="20"/>
              </w:rPr>
              <w:t>30 φαρμακεία 120.581,79 €</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01FCAA2F" w14:textId="23CEEA8A" w:rsidR="00CC38EF" w:rsidRPr="00BE36D9" w:rsidRDefault="00CC38EF" w:rsidP="00CC38EF">
            <w:pPr>
              <w:rPr>
                <w:szCs w:val="20"/>
                <w:lang w:val="el-GR"/>
              </w:rPr>
            </w:pPr>
            <w:r w:rsidRPr="00BE36D9">
              <w:rPr>
                <w:rFonts w:eastAsia="Calibri"/>
                <w:szCs w:val="20"/>
                <w:lang w:val="el-GR"/>
              </w:rPr>
              <w:t>11 φαρμακεία</w:t>
            </w:r>
            <w:r w:rsidRPr="00BE36D9">
              <w:rPr>
                <w:szCs w:val="20"/>
                <w:lang w:val="el-GR"/>
              </w:rPr>
              <w:t xml:space="preserve"> αποκλεισμός σύμβασης</w:t>
            </w:r>
          </w:p>
          <w:p w14:paraId="551983B2" w14:textId="77777777" w:rsidR="00CC38EF" w:rsidRPr="00BE36D9" w:rsidRDefault="00CC38EF" w:rsidP="00CC38EF">
            <w:pPr>
              <w:rPr>
                <w:rFonts w:eastAsia="Calibri"/>
                <w:szCs w:val="20"/>
                <w:lang w:val="el-GR"/>
              </w:rPr>
            </w:pPr>
            <w:r w:rsidRPr="00BE36D9">
              <w:rPr>
                <w:szCs w:val="20"/>
                <w:lang w:val="el-GR"/>
              </w:rPr>
              <w:t>από 5 ημέρες μέχρι και 1 έτος</w:t>
            </w:r>
          </w:p>
        </w:tc>
      </w:tr>
      <w:tr w:rsidR="00CC38EF" w:rsidRPr="006F4540" w14:paraId="7D4DF2C8" w14:textId="77777777" w:rsidTr="00CC38EF">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3C830AFE" w14:textId="77777777" w:rsidR="00CC38EF" w:rsidRPr="00CE27BF" w:rsidRDefault="00CC38EF" w:rsidP="00CC38EF">
            <w:pPr>
              <w:jc w:val="both"/>
              <w:rPr>
                <w:rFonts w:eastAsia="Calibri"/>
                <w:b w:val="0"/>
                <w:szCs w:val="20"/>
              </w:rPr>
            </w:pPr>
            <w:r w:rsidRPr="00CE27BF">
              <w:rPr>
                <w:rFonts w:eastAsia="Calibri"/>
                <w:b w:val="0"/>
                <w:szCs w:val="20"/>
              </w:rPr>
              <w:t>Ια</w:t>
            </w:r>
            <w:proofErr w:type="spellStart"/>
            <w:r w:rsidRPr="00CE27BF">
              <w:rPr>
                <w:rFonts w:eastAsia="Calibri"/>
                <w:b w:val="0"/>
                <w:szCs w:val="20"/>
              </w:rPr>
              <w:t>τροί</w:t>
            </w:r>
            <w:proofErr w:type="spellEnd"/>
            <w:r w:rsidRPr="00CE27BF">
              <w:rPr>
                <w:rFonts w:eastAsia="Calibri"/>
                <w:b w:val="0"/>
                <w:szCs w:val="20"/>
              </w:rPr>
              <w:t xml:space="preserve"> </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FFFFFF" w:themeFill="background1"/>
          </w:tcPr>
          <w:p w14:paraId="0A49872C" w14:textId="77777777" w:rsidR="00CC38EF" w:rsidRPr="00BE36D9" w:rsidRDefault="00CC38EF" w:rsidP="00CC38EF">
            <w:pPr>
              <w:jc w:val="center"/>
              <w:rPr>
                <w:rFonts w:eastAsia="Calibri"/>
                <w:szCs w:val="20"/>
                <w:lang w:val="el-GR"/>
              </w:rPr>
            </w:pPr>
            <w:r w:rsidRPr="00BE36D9">
              <w:rPr>
                <w:rFonts w:eastAsia="Calibri"/>
                <w:szCs w:val="20"/>
                <w:lang w:val="el-GR"/>
              </w:rPr>
              <w:t>75 ιατροί συνολικό πρόστιμο και καταλογισμός ζημίας 300.802,33 €</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41D34EBE" w14:textId="77D27C97" w:rsidR="00CC38EF" w:rsidRPr="00BE36D9" w:rsidRDefault="00CC38EF" w:rsidP="00CC38EF">
            <w:pPr>
              <w:rPr>
                <w:szCs w:val="20"/>
                <w:lang w:val="el-GR"/>
              </w:rPr>
            </w:pPr>
            <w:r>
              <w:rPr>
                <w:rFonts w:eastAsia="Calibri"/>
                <w:szCs w:val="20"/>
                <w:lang w:val="el-GR"/>
              </w:rPr>
              <w:t>8 ιατροί</w:t>
            </w:r>
            <w:r>
              <w:rPr>
                <w:szCs w:val="20"/>
                <w:lang w:val="el-GR"/>
              </w:rPr>
              <w:t xml:space="preserve"> αποκλεισμός σύμβασης από 4 </w:t>
            </w:r>
            <w:r w:rsidRPr="00BE36D9">
              <w:rPr>
                <w:szCs w:val="20"/>
                <w:lang w:val="el-GR"/>
              </w:rPr>
              <w:t>μήνες έως 1 έτος.</w:t>
            </w:r>
          </w:p>
          <w:p w14:paraId="6280ABDC" w14:textId="54CE0F01" w:rsidR="00CC38EF" w:rsidRPr="00BE36D9" w:rsidRDefault="00CC38EF" w:rsidP="00CC38EF">
            <w:pPr>
              <w:rPr>
                <w:rFonts w:eastAsia="Calibri"/>
                <w:szCs w:val="20"/>
                <w:lang w:val="el-GR"/>
              </w:rPr>
            </w:pPr>
            <w:r w:rsidRPr="00BE36D9">
              <w:rPr>
                <w:szCs w:val="20"/>
                <w:lang w:val="el-GR"/>
              </w:rPr>
              <w:t>Επίσης σε 36 ιατρούς στους οποίους είχε επιβληθεί 4μηνος αποκλεισμός από τον Πρόεδρο ΕΟΠΥΥ επιβεβαίωσε την ισχύ των ποινών .</w:t>
            </w:r>
          </w:p>
        </w:tc>
      </w:tr>
      <w:tr w:rsidR="00CC38EF" w:rsidRPr="00CE27BF" w14:paraId="2BF173C1" w14:textId="77777777" w:rsidTr="00CC3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3267D705" w14:textId="77777777" w:rsidR="00CC38EF" w:rsidRPr="00CE27BF" w:rsidRDefault="00CC38EF" w:rsidP="00CC38EF">
            <w:pPr>
              <w:jc w:val="both"/>
              <w:rPr>
                <w:rFonts w:eastAsia="Calibri"/>
                <w:b w:val="0"/>
                <w:szCs w:val="20"/>
              </w:rPr>
            </w:pPr>
            <w:proofErr w:type="spellStart"/>
            <w:r w:rsidRPr="00CE27BF">
              <w:rPr>
                <w:rFonts w:eastAsia="Calibri"/>
                <w:b w:val="0"/>
                <w:szCs w:val="20"/>
              </w:rPr>
              <w:t>Ιδιωτικές</w:t>
            </w:r>
            <w:proofErr w:type="spellEnd"/>
            <w:r w:rsidRPr="00CE27BF">
              <w:rPr>
                <w:rFonts w:eastAsia="Calibri"/>
                <w:b w:val="0"/>
                <w:szCs w:val="20"/>
              </w:rPr>
              <w:t xml:space="preserve"> </w:t>
            </w:r>
            <w:proofErr w:type="spellStart"/>
            <w:r w:rsidRPr="00CE27BF">
              <w:rPr>
                <w:rFonts w:eastAsia="Calibri"/>
                <w:b w:val="0"/>
                <w:szCs w:val="20"/>
              </w:rPr>
              <w:t>κλινικές</w:t>
            </w:r>
            <w:proofErr w:type="spellEnd"/>
          </w:p>
        </w:tc>
        <w:tc>
          <w:tcPr>
            <w:cnfStyle w:val="000010000000" w:firstRow="0" w:lastRow="0" w:firstColumn="0" w:lastColumn="0" w:oddVBand="1" w:evenVBand="0" w:oddHBand="0" w:evenHBand="0" w:firstRowFirstColumn="0" w:firstRowLastColumn="0" w:lastRowFirstColumn="0" w:lastRowLastColumn="0"/>
            <w:tcW w:w="2693" w:type="dxa"/>
            <w:tcBorders>
              <w:left w:val="none" w:sz="0" w:space="0" w:color="auto"/>
              <w:right w:val="none" w:sz="0" w:space="0" w:color="auto"/>
            </w:tcBorders>
            <w:shd w:val="clear" w:color="auto" w:fill="FFFFFF" w:themeFill="background1"/>
          </w:tcPr>
          <w:p w14:paraId="54B0B81A" w14:textId="77777777" w:rsidR="00CC38EF" w:rsidRPr="00CE27BF" w:rsidRDefault="00CC38EF" w:rsidP="00CC38EF">
            <w:pPr>
              <w:jc w:val="center"/>
              <w:rPr>
                <w:rFonts w:eastAsia="Calibri"/>
                <w:szCs w:val="20"/>
              </w:rPr>
            </w:pPr>
            <w:r w:rsidRPr="00CE27BF">
              <w:rPr>
                <w:rFonts w:eastAsia="Calibri"/>
                <w:szCs w:val="20"/>
              </w:rPr>
              <w:t>7 κλινικές συνολικό πρόστιμο 325.000€</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1A939CC2" w14:textId="77777777" w:rsidR="00CC38EF" w:rsidRPr="00CE27BF" w:rsidRDefault="00CC38EF" w:rsidP="00CC38EF">
            <w:pPr>
              <w:rPr>
                <w:rFonts w:eastAsia="Calibri"/>
                <w:szCs w:val="20"/>
              </w:rPr>
            </w:pPr>
            <w:r w:rsidRPr="00CE27BF">
              <w:rPr>
                <w:rFonts w:eastAsia="Calibri"/>
                <w:szCs w:val="20"/>
              </w:rPr>
              <w:t>-</w:t>
            </w:r>
          </w:p>
        </w:tc>
      </w:tr>
      <w:tr w:rsidR="00CC38EF" w:rsidRPr="00CE27BF" w14:paraId="5CDFB3C1" w14:textId="77777777" w:rsidTr="00CC38EF">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68F26C35" w14:textId="77777777" w:rsidR="00CC38EF" w:rsidRPr="00CE27BF" w:rsidRDefault="00CC38EF" w:rsidP="00CC38EF">
            <w:pPr>
              <w:jc w:val="both"/>
              <w:rPr>
                <w:rFonts w:eastAsia="Calibri"/>
                <w:b w:val="0"/>
                <w:szCs w:val="20"/>
              </w:rPr>
            </w:pPr>
            <w:r w:rsidRPr="00CE27BF">
              <w:rPr>
                <w:rFonts w:eastAsia="Calibri"/>
                <w:b w:val="0"/>
                <w:szCs w:val="20"/>
              </w:rPr>
              <w:t>Φυσιοθεραπευτές</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FFFFFF" w:themeFill="background1"/>
          </w:tcPr>
          <w:p w14:paraId="372E16D4" w14:textId="77777777" w:rsidR="00CC38EF" w:rsidRPr="00CE27BF" w:rsidRDefault="00CC38EF" w:rsidP="00CC38EF">
            <w:pPr>
              <w:jc w:val="center"/>
              <w:rPr>
                <w:rFonts w:eastAsia="Calibri"/>
                <w:szCs w:val="20"/>
              </w:rPr>
            </w:pPr>
            <w:r w:rsidRPr="00CE27BF">
              <w:rPr>
                <w:rFonts w:eastAsia="Calibri"/>
                <w:szCs w:val="20"/>
              </w:rPr>
              <w:t>1 φυσιοθεραπευτή πρόστιμο 20.000€</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7E2E9A3B" w14:textId="00228EEE" w:rsidR="00CC38EF" w:rsidRPr="00CE27BF" w:rsidRDefault="00CC38EF" w:rsidP="00CC38EF">
            <w:pPr>
              <w:rPr>
                <w:rFonts w:eastAsia="Calibri"/>
                <w:szCs w:val="20"/>
              </w:rPr>
            </w:pPr>
            <w:r w:rsidRPr="00CE27BF">
              <w:rPr>
                <w:rFonts w:eastAsia="Calibri"/>
                <w:szCs w:val="20"/>
              </w:rPr>
              <w:t>1 φυσιοθεραπευτή οριστική καταγγελία σύμβασης</w:t>
            </w:r>
          </w:p>
        </w:tc>
      </w:tr>
      <w:tr w:rsidR="00CC38EF" w:rsidRPr="00CE27BF" w14:paraId="3EDF2A3A" w14:textId="77777777" w:rsidTr="00CC3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0CFFE9BA" w14:textId="77777777" w:rsidR="00CC38EF" w:rsidRPr="00BE36D9" w:rsidRDefault="00CC38EF" w:rsidP="00CC38EF">
            <w:pPr>
              <w:jc w:val="both"/>
              <w:rPr>
                <w:rFonts w:eastAsia="Calibri"/>
                <w:b w:val="0"/>
                <w:szCs w:val="20"/>
                <w:lang w:val="el-GR"/>
              </w:rPr>
            </w:pPr>
            <w:r w:rsidRPr="00BE36D9">
              <w:rPr>
                <w:rFonts w:eastAsia="Calibri"/>
                <w:b w:val="0"/>
                <w:szCs w:val="20"/>
                <w:lang w:val="el-GR"/>
              </w:rPr>
              <w:t>Καταλογισμοί σε κλινικές λόγω καταχρηστικών χρεώσεων στον ΕΟΠΥΥ από Πορίσματα 5 κλινικών</w:t>
            </w:r>
          </w:p>
        </w:tc>
        <w:tc>
          <w:tcPr>
            <w:cnfStyle w:val="000010000000" w:firstRow="0" w:lastRow="0" w:firstColumn="0" w:lastColumn="0" w:oddVBand="1" w:evenVBand="0" w:oddHBand="0" w:evenHBand="0" w:firstRowFirstColumn="0" w:firstRowLastColumn="0" w:lastRowFirstColumn="0" w:lastRowLastColumn="0"/>
            <w:tcW w:w="2693" w:type="dxa"/>
            <w:tcBorders>
              <w:left w:val="none" w:sz="0" w:space="0" w:color="auto"/>
              <w:right w:val="none" w:sz="0" w:space="0" w:color="auto"/>
            </w:tcBorders>
            <w:shd w:val="clear" w:color="auto" w:fill="FFFFFF" w:themeFill="background1"/>
          </w:tcPr>
          <w:p w14:paraId="50B64CA7" w14:textId="77777777" w:rsidR="00CC38EF" w:rsidRPr="00CE27BF" w:rsidRDefault="00CC38EF" w:rsidP="00CC38EF">
            <w:pPr>
              <w:jc w:val="center"/>
              <w:rPr>
                <w:rFonts w:eastAsia="Calibri"/>
                <w:szCs w:val="20"/>
              </w:rPr>
            </w:pPr>
            <w:r w:rsidRPr="00CE27BF">
              <w:rPr>
                <w:rFonts w:eastAsia="Calibri"/>
                <w:szCs w:val="20"/>
              </w:rPr>
              <w:t>300.000€</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7CA77277" w14:textId="77777777" w:rsidR="00CC38EF" w:rsidRPr="00CE27BF" w:rsidRDefault="00CC38EF" w:rsidP="00CC38EF">
            <w:pPr>
              <w:rPr>
                <w:rFonts w:eastAsia="Calibri"/>
                <w:szCs w:val="20"/>
              </w:rPr>
            </w:pPr>
          </w:p>
        </w:tc>
      </w:tr>
      <w:tr w:rsidR="00CC38EF" w:rsidRPr="00CE27BF" w14:paraId="00AEABE6" w14:textId="77777777" w:rsidTr="00CC38EF">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1263DB99" w14:textId="77777777" w:rsidR="00CC38EF" w:rsidRPr="00BE36D9" w:rsidRDefault="00CC38EF" w:rsidP="00CC38EF">
            <w:pPr>
              <w:jc w:val="both"/>
              <w:rPr>
                <w:rFonts w:eastAsia="Calibri"/>
                <w:b w:val="0"/>
                <w:szCs w:val="20"/>
                <w:lang w:val="el-GR"/>
              </w:rPr>
            </w:pPr>
            <w:r w:rsidRPr="00BE36D9">
              <w:rPr>
                <w:rFonts w:eastAsia="Calibri"/>
                <w:b w:val="0"/>
                <w:szCs w:val="20"/>
                <w:lang w:val="el-GR"/>
              </w:rPr>
              <w:t>Καταλογισμοί σε κλινικές λόγω καταχρηστικών χρεώσεων σε 7 ασφαλισμένους</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FFFFFF" w:themeFill="background1"/>
          </w:tcPr>
          <w:p w14:paraId="1BEC3EF9" w14:textId="77777777" w:rsidR="00CC38EF" w:rsidRPr="00CE27BF" w:rsidRDefault="00CC38EF" w:rsidP="00CC38EF">
            <w:pPr>
              <w:jc w:val="center"/>
              <w:rPr>
                <w:rFonts w:eastAsia="Calibri"/>
                <w:szCs w:val="20"/>
              </w:rPr>
            </w:pPr>
            <w:r w:rsidRPr="00CE27BF">
              <w:rPr>
                <w:rFonts w:eastAsia="Calibri"/>
                <w:szCs w:val="20"/>
              </w:rPr>
              <w:t>80.000€</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51388762" w14:textId="77777777" w:rsidR="00CC38EF" w:rsidRPr="00CE27BF" w:rsidRDefault="00CC38EF" w:rsidP="00CC38EF">
            <w:pPr>
              <w:rPr>
                <w:rFonts w:eastAsia="Calibri"/>
                <w:szCs w:val="20"/>
              </w:rPr>
            </w:pPr>
          </w:p>
        </w:tc>
      </w:tr>
      <w:tr w:rsidR="00CC38EF" w:rsidRPr="00CE27BF" w14:paraId="679414A9" w14:textId="77777777" w:rsidTr="00CC38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48053C3E" w14:textId="77777777" w:rsidR="00CC38EF" w:rsidRPr="00CE27BF" w:rsidRDefault="00CC38EF" w:rsidP="00CC38EF">
            <w:pPr>
              <w:jc w:val="both"/>
              <w:rPr>
                <w:rFonts w:eastAsia="Calibri"/>
                <w:b w:val="0"/>
                <w:szCs w:val="20"/>
              </w:rPr>
            </w:pPr>
            <w:r w:rsidRPr="00CE27BF">
              <w:rPr>
                <w:rFonts w:eastAsia="Calibri"/>
                <w:b w:val="0"/>
                <w:szCs w:val="20"/>
              </w:rPr>
              <w:t>Πολυϊατρείο</w:t>
            </w:r>
          </w:p>
        </w:tc>
        <w:tc>
          <w:tcPr>
            <w:cnfStyle w:val="000010000000" w:firstRow="0" w:lastRow="0" w:firstColumn="0" w:lastColumn="0" w:oddVBand="1" w:evenVBand="0" w:oddHBand="0" w:evenHBand="0" w:firstRowFirstColumn="0" w:firstRowLastColumn="0" w:lastRowFirstColumn="0" w:lastRowLastColumn="0"/>
            <w:tcW w:w="2693" w:type="dxa"/>
            <w:tcBorders>
              <w:left w:val="none" w:sz="0" w:space="0" w:color="auto"/>
              <w:right w:val="none" w:sz="0" w:space="0" w:color="auto"/>
            </w:tcBorders>
            <w:shd w:val="clear" w:color="auto" w:fill="FFFFFF" w:themeFill="background1"/>
          </w:tcPr>
          <w:p w14:paraId="0BE4FE61" w14:textId="77777777" w:rsidR="00CC38EF" w:rsidRPr="00CE27BF" w:rsidRDefault="00CC38EF" w:rsidP="00CC38EF">
            <w:pPr>
              <w:jc w:val="center"/>
              <w:rPr>
                <w:rFonts w:eastAsia="Calibri"/>
                <w:szCs w:val="20"/>
              </w:rPr>
            </w:pPr>
            <w:r w:rsidRPr="00CE27BF">
              <w:rPr>
                <w:rFonts w:eastAsia="Calibri"/>
                <w:szCs w:val="20"/>
              </w:rPr>
              <w:t>1 Πολυϊατρείο πρόστιμο 44.797,26 €</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6AFF84BC" w14:textId="77777777" w:rsidR="00CC38EF" w:rsidRPr="00CE27BF" w:rsidRDefault="00CC38EF" w:rsidP="00CC38EF">
            <w:pPr>
              <w:rPr>
                <w:rFonts w:eastAsia="Calibri"/>
                <w:szCs w:val="20"/>
              </w:rPr>
            </w:pPr>
            <w:r w:rsidRPr="00CE27BF">
              <w:rPr>
                <w:rFonts w:eastAsia="Calibri"/>
                <w:szCs w:val="20"/>
              </w:rPr>
              <w:t>-</w:t>
            </w:r>
          </w:p>
        </w:tc>
      </w:tr>
      <w:tr w:rsidR="00CC38EF" w:rsidRPr="00CE27BF" w14:paraId="055DBB1A" w14:textId="77777777" w:rsidTr="00CC38EF">
        <w:tc>
          <w:tcPr>
            <w:cnfStyle w:val="001000000000" w:firstRow="0" w:lastRow="0" w:firstColumn="1" w:lastColumn="0" w:oddVBand="0" w:evenVBand="0" w:oddHBand="0" w:evenHBand="0" w:firstRowFirstColumn="0" w:firstRowLastColumn="0" w:lastRowFirstColumn="0" w:lastRowLastColumn="0"/>
            <w:tcW w:w="2802" w:type="dxa"/>
            <w:tcBorders>
              <w:left w:val="none" w:sz="0" w:space="0" w:color="auto"/>
              <w:bottom w:val="none" w:sz="0" w:space="0" w:color="auto"/>
              <w:right w:val="none" w:sz="0" w:space="0" w:color="auto"/>
            </w:tcBorders>
          </w:tcPr>
          <w:p w14:paraId="36E974AE" w14:textId="77777777" w:rsidR="00CC38EF" w:rsidRPr="00CE27BF" w:rsidRDefault="00CC38EF" w:rsidP="00CC38EF">
            <w:pPr>
              <w:jc w:val="both"/>
              <w:rPr>
                <w:rFonts w:eastAsia="Calibri"/>
                <w:b w:val="0"/>
                <w:szCs w:val="20"/>
              </w:rPr>
            </w:pPr>
            <w:r w:rsidRPr="00CE27BF">
              <w:rPr>
                <w:rFonts w:eastAsia="Calibri"/>
                <w:b w:val="0"/>
                <w:szCs w:val="20"/>
              </w:rPr>
              <w:t>Διαγνωστικά κέντρα</w:t>
            </w:r>
          </w:p>
        </w:tc>
        <w:tc>
          <w:tcPr>
            <w:cnfStyle w:val="000010000000" w:firstRow="0" w:lastRow="0" w:firstColumn="0" w:lastColumn="0" w:oddVBand="1" w:evenVBand="0" w:oddHBand="0" w:evenHBand="0" w:firstRowFirstColumn="0" w:firstRowLastColumn="0" w:lastRowFirstColumn="0" w:lastRowLastColumn="0"/>
            <w:tcW w:w="2693" w:type="dxa"/>
            <w:shd w:val="clear" w:color="auto" w:fill="FFFFFF" w:themeFill="background1"/>
          </w:tcPr>
          <w:p w14:paraId="352E1685" w14:textId="77777777" w:rsidR="00CC38EF" w:rsidRPr="00CE27BF" w:rsidRDefault="00CC38EF" w:rsidP="00CC38EF">
            <w:pPr>
              <w:jc w:val="center"/>
              <w:rPr>
                <w:rFonts w:eastAsia="Calibri"/>
                <w:szCs w:val="20"/>
              </w:rPr>
            </w:pPr>
            <w:r w:rsidRPr="00CE27BF">
              <w:rPr>
                <w:rFonts w:eastAsia="Calibri"/>
                <w:szCs w:val="20"/>
              </w:rPr>
              <w:t>1 διαγνωστικό εργαστήριο πρόστιμο 8.395,29€</w:t>
            </w:r>
          </w:p>
        </w:tc>
        <w:tc>
          <w:tcPr>
            <w:cnfStyle w:val="000100000000" w:firstRow="0" w:lastRow="0" w:firstColumn="0" w:lastColumn="1" w:oddVBand="0" w:evenVBand="0" w:oddHBand="0" w:evenHBand="0" w:firstRowFirstColumn="0" w:firstRowLastColumn="0" w:lastRowFirstColumn="0" w:lastRowLastColumn="0"/>
            <w:tcW w:w="3402" w:type="dxa"/>
            <w:tcBorders>
              <w:left w:val="none" w:sz="0" w:space="0" w:color="auto"/>
              <w:bottom w:val="none" w:sz="0" w:space="0" w:color="auto"/>
              <w:right w:val="none" w:sz="0" w:space="0" w:color="auto"/>
            </w:tcBorders>
            <w:shd w:val="clear" w:color="auto" w:fill="FFFFFF" w:themeFill="background1"/>
          </w:tcPr>
          <w:p w14:paraId="4422C7F4" w14:textId="77777777" w:rsidR="00CC38EF" w:rsidRPr="00CE27BF" w:rsidRDefault="00CC38EF" w:rsidP="00CC38EF">
            <w:pPr>
              <w:rPr>
                <w:rFonts w:eastAsia="Calibri"/>
                <w:szCs w:val="20"/>
              </w:rPr>
            </w:pPr>
          </w:p>
        </w:tc>
      </w:tr>
      <w:tr w:rsidR="00CC38EF" w:rsidRPr="00CE27BF" w14:paraId="70F2E602" w14:textId="77777777" w:rsidTr="00CC38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Borders>
              <w:top w:val="none" w:sz="0" w:space="0" w:color="auto"/>
              <w:left w:val="none" w:sz="0" w:space="0" w:color="auto"/>
              <w:bottom w:val="none" w:sz="0" w:space="0" w:color="auto"/>
              <w:right w:val="none" w:sz="0" w:space="0" w:color="auto"/>
            </w:tcBorders>
          </w:tcPr>
          <w:p w14:paraId="77DF97A7" w14:textId="77777777" w:rsidR="00CC38EF" w:rsidRPr="00CC38EF" w:rsidRDefault="00CC38EF" w:rsidP="00CC38EF">
            <w:pPr>
              <w:jc w:val="both"/>
              <w:rPr>
                <w:rFonts w:eastAsia="Calibri"/>
                <w:szCs w:val="20"/>
              </w:rPr>
            </w:pPr>
            <w:r w:rsidRPr="00CC38EF">
              <w:rPr>
                <w:rFonts w:eastAsia="Calibri"/>
                <w:szCs w:val="20"/>
              </w:rPr>
              <w:t>Σύνολο</w:t>
            </w:r>
          </w:p>
        </w:tc>
        <w:tc>
          <w:tcPr>
            <w:cnfStyle w:val="000010000000" w:firstRow="0" w:lastRow="0" w:firstColumn="0" w:lastColumn="0" w:oddVBand="1" w:evenVBand="0" w:oddHBand="0" w:evenHBand="0" w:firstRowFirstColumn="0" w:firstRowLastColumn="0" w:lastRowFirstColumn="0" w:lastRowLastColumn="0"/>
            <w:tcW w:w="2693" w:type="dxa"/>
            <w:tcBorders>
              <w:top w:val="none" w:sz="0" w:space="0" w:color="auto"/>
              <w:left w:val="none" w:sz="0" w:space="0" w:color="auto"/>
              <w:bottom w:val="none" w:sz="0" w:space="0" w:color="auto"/>
              <w:right w:val="none" w:sz="0" w:space="0" w:color="auto"/>
            </w:tcBorders>
          </w:tcPr>
          <w:p w14:paraId="57C9DF3F" w14:textId="48D1F3B6" w:rsidR="00CC38EF" w:rsidRPr="00CC38EF" w:rsidRDefault="00CC38EF" w:rsidP="00CC38EF">
            <w:pPr>
              <w:jc w:val="center"/>
              <w:rPr>
                <w:rFonts w:eastAsia="Calibri"/>
                <w:szCs w:val="20"/>
              </w:rPr>
            </w:pPr>
            <w:r w:rsidRPr="00CC38EF">
              <w:rPr>
                <w:rFonts w:eastAsia="Calibri"/>
                <w:szCs w:val="20"/>
              </w:rPr>
              <w:t>115 πάροχοι</w:t>
            </w:r>
          </w:p>
          <w:p w14:paraId="76865E35" w14:textId="6A680912" w:rsidR="00CC38EF" w:rsidRPr="00CC38EF" w:rsidRDefault="00CC38EF" w:rsidP="00CC38EF">
            <w:pPr>
              <w:jc w:val="center"/>
              <w:rPr>
                <w:rFonts w:eastAsia="Calibri"/>
                <w:szCs w:val="20"/>
              </w:rPr>
            </w:pPr>
            <w:r w:rsidRPr="00CC38EF">
              <w:rPr>
                <w:rFonts w:eastAsia="Calibri"/>
                <w:szCs w:val="20"/>
              </w:rPr>
              <w:t>1</w:t>
            </w:r>
            <w:r>
              <w:rPr>
                <w:rFonts w:eastAsia="Calibri"/>
                <w:szCs w:val="20"/>
                <w:lang w:val="el-GR"/>
              </w:rPr>
              <w:t>.</w:t>
            </w:r>
            <w:r w:rsidRPr="00CC38EF">
              <w:rPr>
                <w:rFonts w:eastAsia="Calibri"/>
                <w:szCs w:val="20"/>
              </w:rPr>
              <w:t>199</w:t>
            </w:r>
            <w:r>
              <w:rPr>
                <w:rFonts w:eastAsia="Calibri"/>
                <w:szCs w:val="20"/>
                <w:lang w:val="el-GR"/>
              </w:rPr>
              <w:t>.</w:t>
            </w:r>
            <w:r w:rsidRPr="00CC38EF">
              <w:rPr>
                <w:rFonts w:eastAsia="Calibri"/>
                <w:szCs w:val="20"/>
              </w:rPr>
              <w:t>576,67</w:t>
            </w:r>
            <w:r w:rsidRPr="00CC38EF">
              <w:rPr>
                <w:rFonts w:eastAsia="Calibri"/>
                <w:i/>
                <w:szCs w:val="20"/>
              </w:rPr>
              <w:t xml:space="preserve"> €</w:t>
            </w:r>
          </w:p>
        </w:tc>
        <w:tc>
          <w:tcPr>
            <w:cnfStyle w:val="000100000000" w:firstRow="0" w:lastRow="0" w:firstColumn="0" w:lastColumn="1"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tcPr>
          <w:p w14:paraId="1BD90DCB" w14:textId="77777777" w:rsidR="00CC38EF" w:rsidRPr="00CC38EF" w:rsidRDefault="00CC38EF" w:rsidP="00CC38EF">
            <w:pPr>
              <w:jc w:val="center"/>
              <w:rPr>
                <w:rFonts w:eastAsia="Calibri"/>
                <w:szCs w:val="20"/>
              </w:rPr>
            </w:pPr>
            <w:r w:rsidRPr="00CC38EF">
              <w:rPr>
                <w:rFonts w:eastAsia="Calibri"/>
                <w:szCs w:val="20"/>
              </w:rPr>
              <w:t>56 πάροχοι</w:t>
            </w:r>
          </w:p>
        </w:tc>
      </w:tr>
    </w:tbl>
    <w:p w14:paraId="0DD90727" w14:textId="77777777" w:rsidR="00CC38EF" w:rsidRDefault="00CC38EF" w:rsidP="0032264A">
      <w:pPr>
        <w:spacing w:before="120" w:after="120" w:line="360" w:lineRule="auto"/>
        <w:jc w:val="both"/>
        <w:rPr>
          <w:rFonts w:asciiTheme="majorHAnsi" w:hAnsiTheme="majorHAnsi"/>
          <w:sz w:val="22"/>
          <w:lang w:val="el-GR"/>
        </w:rPr>
      </w:pPr>
    </w:p>
    <w:p w14:paraId="49B4CE65" w14:textId="6C55DB53" w:rsidR="0032264A" w:rsidRPr="0032264A" w:rsidRDefault="0032264A" w:rsidP="0032264A">
      <w:pPr>
        <w:spacing w:before="120" w:after="120" w:line="360" w:lineRule="auto"/>
        <w:jc w:val="both"/>
        <w:rPr>
          <w:rFonts w:asciiTheme="majorHAnsi" w:hAnsiTheme="majorHAnsi"/>
          <w:b/>
          <w:sz w:val="22"/>
          <w:lang w:val="el-GR"/>
        </w:rPr>
      </w:pPr>
      <w:r w:rsidRPr="0032264A">
        <w:rPr>
          <w:rFonts w:asciiTheme="majorHAnsi" w:hAnsiTheme="majorHAnsi"/>
          <w:b/>
          <w:sz w:val="22"/>
          <w:lang w:val="el-GR"/>
        </w:rPr>
        <w:t xml:space="preserve">Πίνακας </w:t>
      </w:r>
      <w:r w:rsidR="00CC38EF">
        <w:rPr>
          <w:rFonts w:asciiTheme="majorHAnsi" w:hAnsiTheme="majorHAnsi"/>
          <w:b/>
          <w:sz w:val="22"/>
          <w:lang w:val="el-GR"/>
        </w:rPr>
        <w:t>8</w:t>
      </w:r>
      <w:r w:rsidRPr="0032264A">
        <w:rPr>
          <w:rFonts w:asciiTheme="majorHAnsi" w:hAnsiTheme="majorHAnsi"/>
          <w:b/>
          <w:sz w:val="22"/>
          <w:lang w:val="el-GR"/>
        </w:rPr>
        <w:t>. Έλεγχος παραβατικότητας, ΥΠΕΔΥΦΚΑ</w:t>
      </w:r>
      <w:r>
        <w:rPr>
          <w:rFonts w:asciiTheme="majorHAnsi" w:hAnsiTheme="majorHAnsi"/>
          <w:b/>
          <w:sz w:val="22"/>
          <w:lang w:val="el-GR"/>
        </w:rPr>
        <w:t xml:space="preserve">, </w:t>
      </w:r>
      <w:r w:rsidR="00C64C41">
        <w:rPr>
          <w:rFonts w:asciiTheme="majorHAnsi" w:hAnsiTheme="majorHAnsi"/>
          <w:b/>
          <w:sz w:val="22"/>
          <w:lang w:val="el-GR"/>
        </w:rPr>
        <w:t xml:space="preserve">α’ εξάμηνο </w:t>
      </w:r>
      <w:r>
        <w:rPr>
          <w:rFonts w:asciiTheme="majorHAnsi" w:hAnsiTheme="majorHAnsi"/>
          <w:b/>
          <w:sz w:val="22"/>
          <w:lang w:val="el-GR"/>
        </w:rPr>
        <w:t>2015</w:t>
      </w:r>
    </w:p>
    <w:tbl>
      <w:tblPr>
        <w:tblW w:w="9322" w:type="dxa"/>
        <w:tblCellMar>
          <w:left w:w="0" w:type="dxa"/>
          <w:right w:w="0" w:type="dxa"/>
        </w:tblCellMar>
        <w:tblLook w:val="01E0" w:firstRow="1" w:lastRow="1" w:firstColumn="1" w:lastColumn="1" w:noHBand="0" w:noVBand="0"/>
      </w:tblPr>
      <w:tblGrid>
        <w:gridCol w:w="2376"/>
        <w:gridCol w:w="3686"/>
        <w:gridCol w:w="3260"/>
      </w:tblGrid>
      <w:tr w:rsidR="0032264A" w:rsidRPr="0032264A" w14:paraId="48BBAE9A" w14:textId="77777777" w:rsidTr="0032264A">
        <w:tc>
          <w:tcPr>
            <w:tcW w:w="23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5DC5C415" w14:textId="310D1E37" w:rsidR="00A141F0" w:rsidRPr="0032264A" w:rsidRDefault="0032264A" w:rsidP="0032264A">
            <w:pPr>
              <w:jc w:val="center"/>
              <w:rPr>
                <w:rFonts w:asciiTheme="majorHAnsi" w:hAnsiTheme="majorHAnsi"/>
                <w:lang w:val="el-GR"/>
              </w:rPr>
            </w:pPr>
            <w:r w:rsidRPr="0032264A">
              <w:rPr>
                <w:rFonts w:asciiTheme="majorHAnsi" w:hAnsiTheme="majorHAnsi"/>
                <w:b/>
                <w:bCs/>
                <w:lang w:val="el-GR"/>
              </w:rPr>
              <w:t>Πάροχος υπηρεσιών υγείας</w:t>
            </w:r>
          </w:p>
        </w:tc>
        <w:tc>
          <w:tcPr>
            <w:tcW w:w="36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700490D" w14:textId="5F4CEC49" w:rsidR="00A141F0" w:rsidRPr="0032264A" w:rsidRDefault="0032264A" w:rsidP="0032264A">
            <w:pPr>
              <w:jc w:val="center"/>
              <w:rPr>
                <w:rFonts w:asciiTheme="majorHAnsi" w:hAnsiTheme="majorHAnsi"/>
                <w:lang w:val="el-GR"/>
              </w:rPr>
            </w:pPr>
            <w:r w:rsidRPr="0032264A">
              <w:rPr>
                <w:rFonts w:asciiTheme="majorHAnsi" w:hAnsiTheme="majorHAnsi"/>
                <w:b/>
                <w:bCs/>
                <w:lang w:val="el-GR"/>
              </w:rPr>
              <w:t>Χρηματικό πρόστιμο</w:t>
            </w:r>
          </w:p>
        </w:tc>
        <w:tc>
          <w:tcPr>
            <w:tcW w:w="3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30FF2F05" w14:textId="2511913A" w:rsidR="00A141F0" w:rsidRPr="0032264A" w:rsidRDefault="0032264A" w:rsidP="0032264A">
            <w:pPr>
              <w:jc w:val="center"/>
              <w:rPr>
                <w:rFonts w:asciiTheme="majorHAnsi" w:hAnsiTheme="majorHAnsi"/>
                <w:lang w:val="el-GR"/>
              </w:rPr>
            </w:pPr>
            <w:r w:rsidRPr="0032264A">
              <w:rPr>
                <w:rFonts w:asciiTheme="majorHAnsi" w:hAnsiTheme="majorHAnsi"/>
                <w:b/>
                <w:bCs/>
                <w:lang w:val="el-GR"/>
              </w:rPr>
              <w:t>Προσωρινός / οριστικός αποκλεισμός</w:t>
            </w:r>
          </w:p>
        </w:tc>
      </w:tr>
      <w:tr w:rsidR="0032264A" w:rsidRPr="006F4540" w14:paraId="5959BB72" w14:textId="77777777" w:rsidTr="0032264A">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263757"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Φαρμακεία</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25E5F0"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 xml:space="preserve">Σε </w:t>
            </w:r>
            <w:r w:rsidRPr="0032264A">
              <w:rPr>
                <w:rFonts w:asciiTheme="majorHAnsi" w:hAnsiTheme="majorHAnsi"/>
              </w:rPr>
              <w:t>26</w:t>
            </w:r>
            <w:r w:rsidRPr="0032264A">
              <w:rPr>
                <w:rFonts w:asciiTheme="majorHAnsi" w:hAnsiTheme="majorHAnsi"/>
                <w:lang w:val="el-GR"/>
              </w:rPr>
              <w:t xml:space="preserve"> φαρμακεία </w:t>
            </w:r>
            <w:r w:rsidRPr="0032264A">
              <w:rPr>
                <w:rFonts w:asciiTheme="majorHAnsi" w:hAnsiTheme="majorHAnsi"/>
              </w:rPr>
              <w:t>97.279,68</w:t>
            </w:r>
            <w:r w:rsidRPr="0032264A">
              <w:rPr>
                <w:rFonts w:asciiTheme="majorHAnsi" w:hAnsiTheme="majorHAnsi"/>
                <w:lang w:val="el-GR"/>
              </w:rPr>
              <w:t xml:space="preserve">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F30027"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Σε 9 φαρμακεία (από 6 ημέρες μέχρι 3 ½ μήνες)</w:t>
            </w:r>
          </w:p>
        </w:tc>
      </w:tr>
      <w:tr w:rsidR="0032264A" w:rsidRPr="006F4540" w14:paraId="5D9770D3" w14:textId="77777777" w:rsidTr="0032264A">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78F81A"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 xml:space="preserve">Ιατροί </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D2E8AB"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 xml:space="preserve">Σε 26 ιατρούς 300.391,07 € </w:t>
            </w:r>
            <w:r w:rsidRPr="0032264A">
              <w:rPr>
                <w:rFonts w:asciiTheme="majorHAnsi" w:hAnsiTheme="majorHAnsi"/>
                <w:lang w:val="el-GR"/>
              </w:rPr>
              <w:br/>
            </w:r>
            <w:r w:rsidRPr="0032264A">
              <w:rPr>
                <w:rFonts w:asciiTheme="majorHAnsi" w:hAnsiTheme="majorHAnsi"/>
                <w:i/>
                <w:iCs/>
                <w:lang w:val="el-GR"/>
              </w:rPr>
              <w:t>(χρηματικό πρόστιμο και καταλογισμός ζημίας)</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34BF31"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 xml:space="preserve">Σε 6 ιατρούς (από 4 μέχρι 12 μήνες) </w:t>
            </w:r>
          </w:p>
        </w:tc>
      </w:tr>
      <w:tr w:rsidR="0032264A" w:rsidRPr="0032264A" w14:paraId="6C10825B" w14:textId="77777777" w:rsidTr="0032264A">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D02712"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Ιδιωτικές κλινικές</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779DE6"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Σε 2 κλινικές 55.000€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F181E2" w14:textId="77777777" w:rsidR="00A141F0" w:rsidRPr="0032264A" w:rsidRDefault="0032264A" w:rsidP="0032264A">
            <w:pPr>
              <w:jc w:val="both"/>
              <w:rPr>
                <w:rFonts w:asciiTheme="majorHAnsi" w:hAnsiTheme="majorHAnsi"/>
                <w:lang w:val="el-GR"/>
              </w:rPr>
            </w:pPr>
            <w:r w:rsidRPr="0032264A">
              <w:rPr>
                <w:rFonts w:asciiTheme="majorHAnsi" w:hAnsiTheme="majorHAnsi"/>
                <w:lang w:val="el-GR"/>
              </w:rPr>
              <w:t>-</w:t>
            </w:r>
          </w:p>
        </w:tc>
      </w:tr>
      <w:tr w:rsidR="0032264A" w:rsidRPr="0032264A" w14:paraId="25270EE0" w14:textId="77777777" w:rsidTr="0032264A">
        <w:tc>
          <w:tcPr>
            <w:tcW w:w="2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65D34B" w14:textId="77777777" w:rsidR="00A141F0" w:rsidRPr="0032264A" w:rsidRDefault="0032264A" w:rsidP="0032264A">
            <w:pPr>
              <w:jc w:val="both"/>
              <w:rPr>
                <w:rFonts w:asciiTheme="majorHAnsi" w:hAnsiTheme="majorHAnsi"/>
                <w:lang w:val="el-GR"/>
              </w:rPr>
            </w:pPr>
            <w:r w:rsidRPr="0032264A">
              <w:rPr>
                <w:rFonts w:asciiTheme="majorHAnsi" w:hAnsiTheme="majorHAnsi"/>
                <w:b/>
                <w:bCs/>
                <w:lang w:val="el-GR"/>
              </w:rPr>
              <w:t>Σύνολο</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67D65C" w14:textId="77777777" w:rsidR="00A141F0" w:rsidRPr="0032264A" w:rsidRDefault="0032264A" w:rsidP="0032264A">
            <w:pPr>
              <w:jc w:val="both"/>
              <w:rPr>
                <w:rFonts w:asciiTheme="majorHAnsi" w:hAnsiTheme="majorHAnsi"/>
                <w:lang w:val="el-GR"/>
              </w:rPr>
            </w:pPr>
            <w:r w:rsidRPr="0032264A">
              <w:rPr>
                <w:rFonts w:asciiTheme="majorHAnsi" w:hAnsiTheme="majorHAnsi"/>
                <w:b/>
                <w:bCs/>
                <w:lang w:val="el-GR"/>
              </w:rPr>
              <w:t>Σε 42 παρόχους 395.221,85 €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9779C3" w14:textId="77777777" w:rsidR="00A141F0" w:rsidRPr="0032264A" w:rsidRDefault="0032264A" w:rsidP="0032264A">
            <w:pPr>
              <w:jc w:val="both"/>
              <w:rPr>
                <w:rFonts w:asciiTheme="majorHAnsi" w:hAnsiTheme="majorHAnsi"/>
                <w:lang w:val="el-GR"/>
              </w:rPr>
            </w:pPr>
            <w:r w:rsidRPr="0032264A">
              <w:rPr>
                <w:rFonts w:asciiTheme="majorHAnsi" w:hAnsiTheme="majorHAnsi"/>
                <w:b/>
                <w:bCs/>
                <w:lang w:val="el-GR"/>
              </w:rPr>
              <w:t xml:space="preserve">Σε 13 παρόχους προσωρινός αποκλεισμός </w:t>
            </w:r>
          </w:p>
        </w:tc>
      </w:tr>
    </w:tbl>
    <w:p w14:paraId="3C093855" w14:textId="77777777" w:rsidR="00610B0E" w:rsidRDefault="00610B0E" w:rsidP="00827975">
      <w:pPr>
        <w:spacing w:before="120" w:after="120" w:line="360" w:lineRule="auto"/>
        <w:rPr>
          <w:rFonts w:asciiTheme="majorHAnsi" w:hAnsiTheme="majorHAnsi"/>
          <w:sz w:val="22"/>
          <w:lang w:val="el-GR"/>
        </w:rPr>
      </w:pPr>
    </w:p>
    <w:p w14:paraId="07E0342C" w14:textId="0E5B96B8" w:rsidR="00610B0E" w:rsidRDefault="00610B0E" w:rsidP="00827975">
      <w:pPr>
        <w:spacing w:before="120" w:after="120" w:line="360" w:lineRule="auto"/>
        <w:rPr>
          <w:rFonts w:asciiTheme="majorHAnsi" w:hAnsiTheme="majorHAnsi"/>
          <w:sz w:val="22"/>
          <w:lang w:val="el-GR"/>
        </w:rPr>
      </w:pPr>
      <w:r>
        <w:rPr>
          <w:rFonts w:asciiTheme="majorHAnsi" w:hAnsiTheme="majorHAnsi"/>
          <w:sz w:val="22"/>
          <w:lang w:val="el-GR"/>
        </w:rPr>
        <w:t>Ειδικότερα, για το τρέχον έτος (</w:t>
      </w:r>
      <w:r w:rsidR="00C64C41">
        <w:rPr>
          <w:rFonts w:asciiTheme="majorHAnsi" w:hAnsiTheme="majorHAnsi"/>
          <w:sz w:val="22"/>
          <w:lang w:val="el-GR"/>
        </w:rPr>
        <w:t xml:space="preserve">α’ εξάμηνο </w:t>
      </w:r>
      <w:r>
        <w:rPr>
          <w:rFonts w:asciiTheme="majorHAnsi" w:hAnsiTheme="majorHAnsi"/>
          <w:sz w:val="22"/>
          <w:lang w:val="el-GR"/>
        </w:rPr>
        <w:t xml:space="preserve">2015) έχουν εντοπιστεί οι κάτωθι </w:t>
      </w:r>
      <w:r w:rsidR="00C64C41">
        <w:rPr>
          <w:rFonts w:asciiTheme="majorHAnsi" w:hAnsiTheme="majorHAnsi"/>
          <w:sz w:val="22"/>
          <w:lang w:val="el-GR"/>
        </w:rPr>
        <w:t>σημαντικότερες υποθέσεις:</w:t>
      </w:r>
    </w:p>
    <w:p w14:paraId="346D0E70" w14:textId="34004DA8" w:rsidR="00610B0E" w:rsidRPr="000803F2" w:rsidRDefault="00C64C41"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Ασφαλισμένος</w:t>
      </w:r>
      <w:r w:rsidR="00610B0E" w:rsidRPr="000803F2">
        <w:rPr>
          <w:rFonts w:asciiTheme="majorHAnsi" w:hAnsiTheme="majorHAnsi"/>
        </w:rPr>
        <w:t>, χρησιμοποιούσε περισσότερα του ενός βιβλιάρια υγείας για υπερσυνταγογράφηση φαρμάκων υψηλού κόστους, αλλά και άλλων φαρμάκων, οι ενδείξεις των οποίων</w:t>
      </w:r>
      <w:r w:rsidR="00BB47C7" w:rsidRPr="000803F2">
        <w:rPr>
          <w:rFonts w:asciiTheme="majorHAnsi" w:hAnsiTheme="majorHAnsi"/>
        </w:rPr>
        <w:t xml:space="preserve"> δεν άπτονται των παθήσεών του. </w:t>
      </w:r>
      <w:r w:rsidR="00610B0E" w:rsidRPr="000803F2">
        <w:rPr>
          <w:rFonts w:asciiTheme="majorHAnsi" w:hAnsiTheme="majorHAnsi"/>
        </w:rPr>
        <w:t xml:space="preserve">Τα σχετικά στοιχεία έχουν </w:t>
      </w:r>
      <w:r w:rsidR="00610B0E" w:rsidRPr="000803F2">
        <w:rPr>
          <w:rFonts w:asciiTheme="majorHAnsi" w:hAnsiTheme="majorHAnsi"/>
        </w:rPr>
        <w:lastRenderedPageBreak/>
        <w:t>σταλεί στην Εισαγγελία Ο προκύπτον έλεγχος βρίσκεται σε εξέλιξη.</w:t>
      </w:r>
      <w:r w:rsidR="000803F2" w:rsidRPr="000803F2">
        <w:rPr>
          <w:rFonts w:asciiTheme="majorHAnsi" w:hAnsiTheme="majorHAnsi"/>
        </w:rPr>
        <w:t xml:space="preserve"> Η ζημία για τον ΕΟΠΥΥ ανέρχεται σε 172.000€..</w:t>
      </w:r>
    </w:p>
    <w:p w14:paraId="56CFA173" w14:textId="45930369" w:rsidR="00610B0E" w:rsidRPr="000803F2" w:rsidRDefault="00BB47C7"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 xml:space="preserve">Εν αγνοία 5 ασφαλισμένων και με χρήση των στοιχείων τους, άτομο το οποίο διώκεται ποινικά  εμπλέκεται σε  </w:t>
      </w:r>
      <w:r w:rsidR="00610B0E" w:rsidRPr="000803F2">
        <w:rPr>
          <w:rFonts w:asciiTheme="majorHAnsi" w:hAnsiTheme="majorHAnsi"/>
        </w:rPr>
        <w:t xml:space="preserve">συνταγογράφηση ιδιοσκευάσματος με δραστική ουσία την φαιντανύλη </w:t>
      </w:r>
      <w:r w:rsidRPr="000803F2">
        <w:rPr>
          <w:rFonts w:asciiTheme="majorHAnsi" w:hAnsiTheme="majorHAnsi"/>
        </w:rPr>
        <w:t xml:space="preserve">προκαλώντας </w:t>
      </w:r>
      <w:r w:rsidR="00610B0E" w:rsidRPr="000803F2">
        <w:rPr>
          <w:rFonts w:asciiTheme="majorHAnsi" w:hAnsiTheme="majorHAnsi"/>
        </w:rPr>
        <w:t xml:space="preserve">οικονομική επιβάρυνση του ΕΟΠΥΥ </w:t>
      </w:r>
      <w:r w:rsidRPr="000803F2">
        <w:rPr>
          <w:rFonts w:asciiTheme="majorHAnsi" w:hAnsiTheme="majorHAnsi"/>
        </w:rPr>
        <w:t>ύψους</w:t>
      </w:r>
      <w:r w:rsidR="00610B0E" w:rsidRPr="000803F2">
        <w:rPr>
          <w:rFonts w:asciiTheme="majorHAnsi" w:hAnsiTheme="majorHAnsi"/>
        </w:rPr>
        <w:t xml:space="preserve"> 38.217€. Τα σχετικά στοιχεία έχουν σταλεί στην Εισαγγελία</w:t>
      </w:r>
      <w:r w:rsidRPr="000803F2">
        <w:rPr>
          <w:rFonts w:asciiTheme="majorHAnsi" w:hAnsiTheme="majorHAnsi"/>
        </w:rPr>
        <w:t xml:space="preserve">. </w:t>
      </w:r>
    </w:p>
    <w:p w14:paraId="76718C8B" w14:textId="5201B8CE" w:rsidR="00610B0E" w:rsidRPr="000803F2" w:rsidRDefault="000803F2" w:rsidP="000803F2">
      <w:pPr>
        <w:pStyle w:val="ListParagraph1"/>
        <w:numPr>
          <w:ilvl w:val="0"/>
          <w:numId w:val="33"/>
        </w:numPr>
        <w:spacing w:before="120" w:after="120" w:line="360" w:lineRule="auto"/>
        <w:jc w:val="both"/>
        <w:rPr>
          <w:rFonts w:asciiTheme="majorHAnsi" w:hAnsiTheme="majorHAnsi"/>
        </w:rPr>
      </w:pPr>
      <w:r w:rsidRPr="000803F2">
        <w:rPr>
          <w:rFonts w:asciiTheme="majorHAnsi" w:hAnsiTheme="majorHAnsi"/>
        </w:rPr>
        <w:t xml:space="preserve">Ιατρός-γυανικολόγος χρέωνε εικονικές επισκέψεις ασφαλισμένων καθώς επίσης προέβαινε σε συνταγογράφηση εξετάσεων που δεν εκτελούνταν προκειμένου να αιτιολογήσει τις επισκέψεις. </w:t>
      </w:r>
      <w:r w:rsidR="00610B0E" w:rsidRPr="000803F2">
        <w:rPr>
          <w:rFonts w:asciiTheme="majorHAnsi" w:hAnsiTheme="majorHAnsi"/>
        </w:rPr>
        <w:t xml:space="preserve">Η επιβεβαιωθείσα οικονομική επιβάρυνση του ΕΟΠΥΥ στα 1.250 €. Στον ιατρό επιβλήθηκε χρηματικό πρόστιμο 16.875€ και 12 μήνες διακοπή σύμβασης με τον ΕΟΠΥΥ.  </w:t>
      </w:r>
    </w:p>
    <w:p w14:paraId="7D29B38B" w14:textId="77777777" w:rsidR="00610B0E" w:rsidRPr="000803F2" w:rsidRDefault="00610B0E" w:rsidP="000803F2">
      <w:pPr>
        <w:pStyle w:val="a3"/>
        <w:numPr>
          <w:ilvl w:val="0"/>
          <w:numId w:val="33"/>
        </w:numPr>
        <w:spacing w:before="120" w:after="120" w:line="360" w:lineRule="auto"/>
        <w:jc w:val="both"/>
        <w:rPr>
          <w:rFonts w:asciiTheme="majorHAnsi" w:hAnsiTheme="majorHAnsi"/>
          <w:b/>
        </w:rPr>
      </w:pPr>
      <w:r w:rsidRPr="000803F2">
        <w:rPr>
          <w:rFonts w:asciiTheme="majorHAnsi" w:hAnsiTheme="majorHAnsi"/>
        </w:rPr>
        <w:t>Διερευνήθηκε υπόθεση σχετικά με εν αγνοία χρήση σφραγίδας και υπογραφής ελεγκτή ιατρού σε ιατρικές γνωματεύσεις για χορήγηση σκευασμάτων ειδικής διατροφής εκδοθείσες από ιατρούς Δημόσιων Νοσηλευτικών Ιδρυμάτων. Το πόρισμα διαβιβάστηκε στη Εισαγγελία Πρωτοδικών Αθηνών.</w:t>
      </w:r>
    </w:p>
    <w:p w14:paraId="43D9CFDC"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Διενεργήθηκε εκτεταμένη έρευνα αναφορικά με τη χορήγηση επιθεμάτων, προϊόντων ειδικής διατροφής και δαπανών ειδικής αγωγής (λογοθεραπείες, κλπ.) με ταυτόχρονη υποβολή προτάσεων για τον έλεγχο παραβατικών συμπεριφορών και την αντιμετώπιση των στρεβλώσεων που οφείλονται σε κενά του ισχύοντος νομοθετικού πλαισίου που διέπει την παροχή τους. Η υπόθεση έχει σταλεί στη Δικαιοσύνη για τη χρήση πλαστής σφραγίδας και για απάτη κατά του Δημοσίου και αισχροκέρδεια για τα επιθέματα.</w:t>
      </w:r>
    </w:p>
    <w:p w14:paraId="16080836"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Διερευνήθηκε υπόθεση σχετικά με την εν αγνοία συνταγογράφηση και  την μη παραλαβή φαρμάκων από τους ασφαλισμένους και  περικοπή των αιτούμενων ποσών 64 εικονικών συνταγών που εκτελέστηκαν από 34 φαρμακεία της Βόρειας Ελλάδας. Η οικονομική επιβάρυνση του ΕΟΠΥΥ ανέρχεται σε  7.398,77 €.</w:t>
      </w:r>
    </w:p>
    <w:p w14:paraId="4D2FB890"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Διερευνήθηκε υπόθεση σχετικά με την εν αγνοία συνταγογράφηση 32 συνταγών σε ασφαλισμένο του ΕΟΠΥΥ και μη παραλαβή των σκευασμάτων. Η οικονομική επιβάρυνση του ΕΟΠΥΥ ανέρχεται σε  6.068 €. Η υπόθεση βρίσκεται στη φάση επιβολής κυρώσεων.</w:t>
      </w:r>
    </w:p>
    <w:p w14:paraId="3AC847F3"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 xml:space="preserve">Διερευνήθηκαν περιπτώσεις καταχρηστικών χρεώσεων διαγνωστικών πράξεων από συμβεβλημένους με τον ΕΟΠΥΥ ιατρούς (π.χ. </w:t>
      </w:r>
      <w:r w:rsidRPr="000803F2">
        <w:rPr>
          <w:rFonts w:asciiTheme="majorHAnsi" w:hAnsiTheme="majorHAnsi"/>
          <w:lang w:val="en-US"/>
        </w:rPr>
        <w:t>Triplex</w:t>
      </w:r>
      <w:r w:rsidRPr="000803F2">
        <w:rPr>
          <w:rFonts w:asciiTheme="majorHAnsi" w:hAnsiTheme="majorHAnsi"/>
        </w:rPr>
        <w:t xml:space="preserve"> αορτής χωρίς την προβλεπόμενη ιατρική ένδειξη, κ.ά.). Απεστάλησαν έγγραφα προς τις αρμόδιες Περιφερειακές Δ/νσεις του ΕΟΠΥΥ ώστε να περικόπτουν κατά την εκκαθάριση τα αντίστοιχα ποσά </w:t>
      </w:r>
      <w:r w:rsidRPr="000803F2">
        <w:rPr>
          <w:rFonts w:asciiTheme="majorHAnsi" w:hAnsiTheme="majorHAnsi"/>
        </w:rPr>
        <w:lastRenderedPageBreak/>
        <w:t>από την επόμενη πληρωμή των παρόχων. Το ύψος της οικονομικής ζημίας προσεγγίζεται στα 95.000€.</w:t>
      </w:r>
    </w:p>
    <w:p w14:paraId="307D14BD"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Διερευνήθηκαν περιπτώσεις καταχρηστικών χρεώσεων του ΕΟΠΥΥ σε περιπτώσεις νοσηλείας ασφαλισμένων σε Κέντρα Αποθεραπείας Αποκατάστασης προς τις αρμόδιες Περιφερειακές Δ/νσεις του ΕΟΠΥΥ για την περικοπή κατά την εκκαθάριση των καταχρηστικώς χρεωθέντων ποσών από τους παρόχους, που προσεγγίζεται στα 500.000€.</w:t>
      </w:r>
    </w:p>
    <w:p w14:paraId="499159DF"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Διενεργήθηκαν έλεγχοι καταχρηστικών χρεώσεων σε ασφαλισμένους κατά τη νοσηλεία τους σε  ιδιωτικές κλινικές συμβεβλημένων με τον ΕΟΠΥΥ, με χρήση ΚΕΝ ή ημερήσιου νοσηλίου,  καθώς και για νοσηλείες σε ΜΕΘ. Το συνολικό κόστος καταχρηστικών χρεώσεων για τους ασφαλισμένους ανέρχεται στα 57.175 €.</w:t>
      </w:r>
    </w:p>
    <w:p w14:paraId="6831973A" w14:textId="41F7BFAD"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Υπολογίστηκαν ποσά καταχρηστικών χρεώσεων στον ΕΟΠΥΥ από νοσηλείες ασφαλισμένων του σε ιδιωτικές κλινικές συνολικού ύψους 129.244,14 €. Απεστάλησαν έγγραφα προς τις αρμόδιες Περιφερειακές Δ/νσεις του ΕΟΠΥΥ για την περικοπή των ποσών αυτών κατά την εκκαθάριση των αιτούμενων ποσών των παρόχων.</w:t>
      </w:r>
    </w:p>
    <w:p w14:paraId="51837665" w14:textId="77777777"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 xml:space="preserve">Διερευνήθηκαν 36 περιπτώσεις παρόχων υγείας συμβεβλημένων με τον ΕΟΠΥΥ  (ιατρών, φυσιάτρων, φυσικοθεραπευτών, διαγνωστικών εργαστηρίων) σχετικά με την μη τήρηση των διατάξεων της νομοθεσίας, του ΕΚΠΥ, των συμβάσεων, της ορθής συνταγογράφησης και των οδηγιών περί του τρόπου, χρόνου και όρων παροχής ιατροφαρμακευτικής περίθαλψης επεβλήθησαν οι προβλεπόμενες κυρώσεις, στις εντοπισθείσες παραβάσεις. </w:t>
      </w:r>
    </w:p>
    <w:p w14:paraId="3B61D0DE" w14:textId="03B712B0" w:rsidR="00610B0E" w:rsidRPr="000803F2" w:rsidRDefault="00610B0E" w:rsidP="000803F2">
      <w:pPr>
        <w:pStyle w:val="a3"/>
        <w:numPr>
          <w:ilvl w:val="0"/>
          <w:numId w:val="33"/>
        </w:numPr>
        <w:spacing w:before="120" w:after="120" w:line="360" w:lineRule="auto"/>
        <w:jc w:val="both"/>
        <w:rPr>
          <w:rFonts w:asciiTheme="majorHAnsi" w:hAnsiTheme="majorHAnsi"/>
        </w:rPr>
      </w:pPr>
      <w:r w:rsidRPr="000803F2">
        <w:rPr>
          <w:rFonts w:asciiTheme="majorHAnsi" w:hAnsiTheme="majorHAnsi"/>
        </w:rPr>
        <w:t>Διενεργείται έλεγχος για το πρώτο τρίμηνο του 2015 ανοικτής και κλειστής νοσηλεία σε όλα με τα συμβεβλημένα με τον ΕΟΠΥΥ ΚΑΑ του νομού Θεσσαλονίκης και για τέσσερα ΚΑΑ της υπόλοιπης Ελλάδας, απ΄</w:t>
      </w:r>
      <w:r w:rsidR="000803F2" w:rsidRPr="000803F2">
        <w:rPr>
          <w:rFonts w:asciiTheme="majorHAnsi" w:hAnsiTheme="majorHAnsi"/>
        </w:rPr>
        <w:t xml:space="preserve"> </w:t>
      </w:r>
      <w:r w:rsidRPr="000803F2">
        <w:rPr>
          <w:rFonts w:asciiTheme="majorHAnsi" w:hAnsiTheme="majorHAnsi"/>
        </w:rPr>
        <w:t>όπου προκύπτει υψηλή παραβατικότητα από τους ιατρούς στην παραπομπή ασφαλισμένων σε ΚΑΑ</w:t>
      </w:r>
      <w:r w:rsidR="000803F2" w:rsidRPr="000803F2">
        <w:rPr>
          <w:rFonts w:asciiTheme="majorHAnsi" w:hAnsiTheme="majorHAnsi"/>
        </w:rPr>
        <w:t>.</w:t>
      </w:r>
    </w:p>
    <w:p w14:paraId="05055292" w14:textId="77777777" w:rsidR="00610B0E" w:rsidRDefault="00610B0E" w:rsidP="00827975">
      <w:pPr>
        <w:spacing w:before="120" w:after="120" w:line="360" w:lineRule="auto"/>
        <w:rPr>
          <w:rFonts w:asciiTheme="majorHAnsi" w:hAnsiTheme="majorHAnsi"/>
          <w:sz w:val="22"/>
          <w:lang w:val="el-GR"/>
        </w:rPr>
      </w:pPr>
    </w:p>
    <w:p w14:paraId="2057D9B6" w14:textId="6BD7DE31" w:rsidR="0088295E" w:rsidRDefault="0088295E" w:rsidP="00827975">
      <w:pPr>
        <w:spacing w:before="120" w:after="120" w:line="360" w:lineRule="auto"/>
        <w:rPr>
          <w:rFonts w:asciiTheme="majorHAnsi" w:hAnsiTheme="majorHAnsi"/>
          <w:sz w:val="22"/>
          <w:lang w:val="el-GR"/>
        </w:rPr>
      </w:pPr>
      <w:r>
        <w:rPr>
          <w:rFonts w:asciiTheme="majorHAnsi" w:hAnsiTheme="majorHAnsi"/>
          <w:sz w:val="22"/>
          <w:lang w:val="el-GR"/>
        </w:rPr>
        <w:t xml:space="preserve">Επιπρόσθετα, </w:t>
      </w:r>
      <w:r w:rsidR="00E535C1">
        <w:rPr>
          <w:rFonts w:asciiTheme="majorHAnsi" w:hAnsiTheme="majorHAnsi"/>
          <w:sz w:val="22"/>
          <w:lang w:val="el-GR"/>
        </w:rPr>
        <w:t xml:space="preserve">στο πλαίσιο </w:t>
      </w:r>
      <w:r>
        <w:rPr>
          <w:rFonts w:asciiTheme="majorHAnsi" w:hAnsiTheme="majorHAnsi"/>
          <w:sz w:val="22"/>
          <w:lang w:val="el-GR"/>
        </w:rPr>
        <w:t xml:space="preserve">των </w:t>
      </w:r>
      <w:r w:rsidR="00CD0AB1">
        <w:rPr>
          <w:rFonts w:asciiTheme="majorHAnsi" w:hAnsiTheme="majorHAnsi"/>
          <w:sz w:val="22"/>
          <w:lang w:val="el-GR"/>
        </w:rPr>
        <w:t>αρμοδιοτήτων του Αντιπροέδρου</w:t>
      </w:r>
      <w:r>
        <w:rPr>
          <w:rFonts w:asciiTheme="majorHAnsi" w:hAnsiTheme="majorHAnsi"/>
          <w:sz w:val="22"/>
          <w:lang w:val="el-GR"/>
        </w:rPr>
        <w:t xml:space="preserve">, </w:t>
      </w:r>
      <w:r w:rsidR="00E535C1">
        <w:rPr>
          <w:rFonts w:asciiTheme="majorHAnsi" w:hAnsiTheme="majorHAnsi"/>
          <w:sz w:val="22"/>
          <w:lang w:val="el-GR"/>
        </w:rPr>
        <w:t>κλήθηκαν για την παροχή γραπτών εξηγήσεων λόγω παραβίασης της ισχύουσας νομοθεσίας που διέπει τη λειτουργία του Οργανισμού  και εκδόθηκαν σχετικές αποφάσεις.</w:t>
      </w:r>
    </w:p>
    <w:p w14:paraId="34CBF205" w14:textId="77777777" w:rsidR="00CC38EF" w:rsidRDefault="00CC38EF" w:rsidP="00827975">
      <w:pPr>
        <w:spacing w:before="120" w:after="120" w:line="360" w:lineRule="auto"/>
        <w:rPr>
          <w:rFonts w:asciiTheme="majorHAnsi" w:hAnsiTheme="majorHAnsi"/>
          <w:sz w:val="22"/>
          <w:lang w:val="el-GR"/>
        </w:rPr>
      </w:pPr>
    </w:p>
    <w:p w14:paraId="0F106ED4" w14:textId="77777777" w:rsidR="00CC38EF" w:rsidRDefault="00CC38EF" w:rsidP="00827975">
      <w:pPr>
        <w:spacing w:before="120" w:after="120" w:line="360" w:lineRule="auto"/>
        <w:rPr>
          <w:rFonts w:asciiTheme="majorHAnsi" w:hAnsiTheme="majorHAnsi"/>
          <w:sz w:val="22"/>
          <w:lang w:val="el-GR"/>
        </w:rPr>
      </w:pPr>
    </w:p>
    <w:p w14:paraId="047879A9" w14:textId="77777777" w:rsidR="00CC38EF" w:rsidRDefault="00CC38EF" w:rsidP="00827975">
      <w:pPr>
        <w:spacing w:before="120" w:after="120" w:line="360" w:lineRule="auto"/>
        <w:rPr>
          <w:rFonts w:asciiTheme="majorHAnsi" w:hAnsiTheme="majorHAnsi"/>
          <w:sz w:val="22"/>
          <w:lang w:val="el-GR"/>
        </w:rPr>
      </w:pPr>
    </w:p>
    <w:p w14:paraId="09696D9F" w14:textId="56F3F583" w:rsidR="0088295E" w:rsidRPr="00E535C1" w:rsidRDefault="00E535C1" w:rsidP="00827975">
      <w:pPr>
        <w:spacing w:before="120" w:after="120" w:line="360" w:lineRule="auto"/>
        <w:rPr>
          <w:rFonts w:asciiTheme="majorHAnsi" w:hAnsiTheme="majorHAnsi"/>
          <w:b/>
          <w:sz w:val="22"/>
          <w:lang w:val="el-GR"/>
        </w:rPr>
      </w:pPr>
      <w:r w:rsidRPr="00E535C1">
        <w:rPr>
          <w:rFonts w:asciiTheme="majorHAnsi" w:hAnsiTheme="majorHAnsi"/>
          <w:b/>
          <w:sz w:val="22"/>
          <w:lang w:val="el-GR"/>
        </w:rPr>
        <w:lastRenderedPageBreak/>
        <w:t xml:space="preserve">Πίνακας </w:t>
      </w:r>
      <w:r w:rsidR="00CC38EF">
        <w:rPr>
          <w:rFonts w:asciiTheme="majorHAnsi" w:hAnsiTheme="majorHAnsi"/>
          <w:b/>
          <w:sz w:val="22"/>
          <w:lang w:val="el-GR"/>
        </w:rPr>
        <w:t>9</w:t>
      </w:r>
      <w:r w:rsidRPr="00E535C1">
        <w:rPr>
          <w:rFonts w:asciiTheme="majorHAnsi" w:hAnsiTheme="majorHAnsi"/>
          <w:b/>
          <w:sz w:val="22"/>
          <w:lang w:val="el-GR"/>
        </w:rPr>
        <w:t>. Έλεγχος παραβατικότητας, Γραφείο Αντιπροέδρου, α’ εξάμηνο 2015</w:t>
      </w:r>
    </w:p>
    <w:tbl>
      <w:tblPr>
        <w:tblW w:w="8040" w:type="dxa"/>
        <w:tblCellMar>
          <w:left w:w="0" w:type="dxa"/>
          <w:right w:w="0" w:type="dxa"/>
        </w:tblCellMar>
        <w:tblLook w:val="0600" w:firstRow="0" w:lastRow="0" w:firstColumn="0" w:lastColumn="0" w:noHBand="1" w:noVBand="1"/>
      </w:tblPr>
      <w:tblGrid>
        <w:gridCol w:w="1660"/>
        <w:gridCol w:w="2800"/>
        <w:gridCol w:w="3580"/>
      </w:tblGrid>
      <w:tr w:rsidR="0088295E" w:rsidRPr="0088295E" w14:paraId="4DA050C8" w14:textId="77777777" w:rsidTr="0088295E">
        <w:trPr>
          <w:trHeight w:val="915"/>
        </w:trPr>
        <w:tc>
          <w:tcPr>
            <w:tcW w:w="166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C25B92" w14:textId="77777777" w:rsidR="0088295E" w:rsidRPr="0088295E" w:rsidRDefault="0088295E" w:rsidP="0088295E">
            <w:pPr>
              <w:rPr>
                <w:rFonts w:asciiTheme="majorHAnsi" w:hAnsiTheme="majorHAnsi"/>
                <w:szCs w:val="20"/>
                <w:lang w:val="el-GR"/>
              </w:rPr>
            </w:pPr>
          </w:p>
        </w:tc>
        <w:tc>
          <w:tcPr>
            <w:tcW w:w="2800" w:type="dxa"/>
            <w:tcBorders>
              <w:top w:val="single" w:sz="8" w:space="0" w:color="000000"/>
              <w:left w:val="single" w:sz="8" w:space="0" w:color="000000"/>
              <w:bottom w:val="single" w:sz="8"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F3FC649" w14:textId="77777777" w:rsidR="00A141F0" w:rsidRPr="0088295E" w:rsidRDefault="0088295E" w:rsidP="0088295E">
            <w:pPr>
              <w:jc w:val="center"/>
              <w:rPr>
                <w:rFonts w:asciiTheme="majorHAnsi" w:hAnsiTheme="majorHAnsi"/>
                <w:szCs w:val="20"/>
                <w:lang w:val="el-GR"/>
              </w:rPr>
            </w:pPr>
            <w:r w:rsidRPr="0088295E">
              <w:rPr>
                <w:rFonts w:asciiTheme="majorHAnsi" w:hAnsiTheme="majorHAnsi"/>
                <w:b/>
                <w:bCs/>
                <w:szCs w:val="20"/>
                <w:lang w:val="el-GR"/>
              </w:rPr>
              <w:t>ΚΛΗΣΗ ΓΙΑ ΠΑΡΟΧΗ ΓΡΑΠΤΩΝ ΕΞΗΓΗΣΕΩΝ</w:t>
            </w:r>
          </w:p>
        </w:tc>
        <w:tc>
          <w:tcPr>
            <w:tcW w:w="3580" w:type="dxa"/>
            <w:tcBorders>
              <w:top w:val="single" w:sz="8" w:space="0" w:color="000000"/>
              <w:left w:val="single" w:sz="4"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6CA6949E" w14:textId="77777777" w:rsidR="00A141F0" w:rsidRPr="0088295E" w:rsidRDefault="0088295E" w:rsidP="0088295E">
            <w:pPr>
              <w:jc w:val="center"/>
              <w:rPr>
                <w:rFonts w:asciiTheme="majorHAnsi" w:hAnsiTheme="majorHAnsi"/>
                <w:szCs w:val="20"/>
                <w:lang w:val="el-GR"/>
              </w:rPr>
            </w:pPr>
            <w:r w:rsidRPr="0088295E">
              <w:rPr>
                <w:rFonts w:asciiTheme="majorHAnsi" w:hAnsiTheme="majorHAnsi"/>
                <w:b/>
                <w:bCs/>
                <w:szCs w:val="20"/>
                <w:lang w:val="el-GR"/>
              </w:rPr>
              <w:t>ΑΠΟΦΑΣΗ ΑΦΑΙΡΕΣΗΣ ΔΙΚΑΙΩΜΑΤΟΣ ΣΥΝΤΑΓΟΓΡΑΦΗΣΗΣ</w:t>
            </w:r>
          </w:p>
        </w:tc>
      </w:tr>
      <w:tr w:rsidR="0088295E" w:rsidRPr="0088295E" w14:paraId="6074A7C0" w14:textId="77777777" w:rsidTr="0088295E">
        <w:trPr>
          <w:trHeight w:val="300"/>
        </w:trPr>
        <w:tc>
          <w:tcPr>
            <w:tcW w:w="1660" w:type="dxa"/>
            <w:tcBorders>
              <w:top w:val="single" w:sz="4" w:space="0" w:color="000000"/>
              <w:left w:val="single" w:sz="8"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06A896ED" w14:textId="77777777" w:rsidR="00A141F0" w:rsidRPr="0088295E" w:rsidRDefault="0088295E" w:rsidP="0088295E">
            <w:pPr>
              <w:rPr>
                <w:rFonts w:asciiTheme="majorHAnsi" w:hAnsiTheme="majorHAnsi"/>
                <w:b/>
                <w:szCs w:val="20"/>
                <w:lang w:val="el-GR"/>
              </w:rPr>
            </w:pPr>
            <w:r w:rsidRPr="0088295E">
              <w:rPr>
                <w:rFonts w:asciiTheme="majorHAnsi" w:hAnsiTheme="majorHAnsi"/>
                <w:b/>
                <w:bCs/>
                <w:szCs w:val="20"/>
                <w:lang w:val="el-GR"/>
              </w:rPr>
              <w:t>2014</w:t>
            </w:r>
          </w:p>
        </w:tc>
        <w:tc>
          <w:tcPr>
            <w:tcW w:w="280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CB2BF8B" w14:textId="77777777" w:rsidR="00A141F0" w:rsidRPr="0088295E" w:rsidRDefault="0088295E" w:rsidP="0088295E">
            <w:pPr>
              <w:jc w:val="center"/>
              <w:rPr>
                <w:rFonts w:asciiTheme="majorHAnsi" w:hAnsiTheme="majorHAnsi"/>
                <w:szCs w:val="20"/>
                <w:lang w:val="el-GR"/>
              </w:rPr>
            </w:pPr>
            <w:r w:rsidRPr="0088295E">
              <w:rPr>
                <w:rFonts w:asciiTheme="majorHAnsi" w:hAnsiTheme="majorHAnsi"/>
                <w:szCs w:val="20"/>
                <w:lang w:val="el-GR"/>
              </w:rPr>
              <w:t>342</w:t>
            </w:r>
          </w:p>
        </w:tc>
        <w:tc>
          <w:tcPr>
            <w:tcW w:w="358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bottom w:w="0" w:type="dxa"/>
              <w:right w:w="15" w:type="dxa"/>
            </w:tcMar>
            <w:vAlign w:val="bottom"/>
            <w:hideMark/>
          </w:tcPr>
          <w:p w14:paraId="406AE8E0" w14:textId="77777777" w:rsidR="00A141F0" w:rsidRPr="0088295E" w:rsidRDefault="0088295E" w:rsidP="0088295E">
            <w:pPr>
              <w:jc w:val="center"/>
              <w:rPr>
                <w:rFonts w:asciiTheme="majorHAnsi" w:hAnsiTheme="majorHAnsi"/>
                <w:szCs w:val="20"/>
                <w:lang w:val="el-GR"/>
              </w:rPr>
            </w:pPr>
            <w:r w:rsidRPr="0088295E">
              <w:rPr>
                <w:rFonts w:asciiTheme="majorHAnsi" w:hAnsiTheme="majorHAnsi"/>
                <w:szCs w:val="20"/>
                <w:lang w:val="el-GR"/>
              </w:rPr>
              <w:t>24</w:t>
            </w:r>
          </w:p>
        </w:tc>
      </w:tr>
      <w:tr w:rsidR="0088295E" w:rsidRPr="0088295E" w14:paraId="07F50826" w14:textId="77777777" w:rsidTr="0088295E">
        <w:trPr>
          <w:trHeight w:val="604"/>
        </w:trPr>
        <w:tc>
          <w:tcPr>
            <w:tcW w:w="1660" w:type="dxa"/>
            <w:tcBorders>
              <w:top w:val="single" w:sz="4"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2AEB7B0" w14:textId="77777777" w:rsidR="0088295E" w:rsidRPr="0088295E" w:rsidRDefault="0088295E" w:rsidP="0088295E">
            <w:pPr>
              <w:rPr>
                <w:rFonts w:asciiTheme="majorHAnsi" w:hAnsiTheme="majorHAnsi"/>
                <w:b/>
                <w:szCs w:val="20"/>
                <w:lang w:val="el-GR"/>
              </w:rPr>
            </w:pPr>
            <w:r w:rsidRPr="0088295E">
              <w:rPr>
                <w:rFonts w:asciiTheme="majorHAnsi" w:hAnsiTheme="majorHAnsi"/>
                <w:b/>
                <w:szCs w:val="20"/>
                <w:lang w:val="el-GR"/>
              </w:rPr>
              <w:t xml:space="preserve">ΑΠΌ </w:t>
            </w:r>
            <w:r w:rsidRPr="0088295E">
              <w:rPr>
                <w:rFonts w:asciiTheme="majorHAnsi" w:hAnsiTheme="majorHAnsi"/>
                <w:b/>
                <w:bCs/>
                <w:szCs w:val="20"/>
                <w:lang w:val="el-GR"/>
              </w:rPr>
              <w:t>1/1/2015</w:t>
            </w:r>
            <w:r w:rsidRPr="0088295E">
              <w:rPr>
                <w:rFonts w:asciiTheme="majorHAnsi" w:hAnsiTheme="majorHAnsi"/>
                <w:b/>
                <w:szCs w:val="20"/>
                <w:lang w:val="el-GR"/>
              </w:rPr>
              <w:t xml:space="preserve"> </w:t>
            </w:r>
          </w:p>
          <w:p w14:paraId="76544A70" w14:textId="53C99994" w:rsidR="00A141F0" w:rsidRPr="0088295E" w:rsidRDefault="0088295E" w:rsidP="0088295E">
            <w:pPr>
              <w:rPr>
                <w:rFonts w:asciiTheme="majorHAnsi" w:hAnsiTheme="majorHAnsi"/>
                <w:b/>
                <w:szCs w:val="20"/>
                <w:lang w:val="el-GR"/>
              </w:rPr>
            </w:pPr>
            <w:r w:rsidRPr="0088295E">
              <w:rPr>
                <w:rFonts w:asciiTheme="majorHAnsi" w:hAnsiTheme="majorHAnsi"/>
                <w:b/>
                <w:szCs w:val="20"/>
                <w:lang w:val="el-GR"/>
              </w:rPr>
              <w:t xml:space="preserve">ΕΩΣ </w:t>
            </w:r>
            <w:r w:rsidRPr="0088295E">
              <w:rPr>
                <w:rFonts w:asciiTheme="majorHAnsi" w:hAnsiTheme="majorHAnsi"/>
                <w:b/>
                <w:bCs/>
                <w:szCs w:val="20"/>
                <w:lang w:val="el-GR"/>
              </w:rPr>
              <w:t>28/5/2015</w:t>
            </w:r>
          </w:p>
        </w:tc>
        <w:tc>
          <w:tcPr>
            <w:tcW w:w="280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vAlign w:val="center"/>
            <w:hideMark/>
          </w:tcPr>
          <w:p w14:paraId="1AB894CA" w14:textId="77777777" w:rsidR="00A141F0" w:rsidRPr="0088295E" w:rsidRDefault="0088295E" w:rsidP="0088295E">
            <w:pPr>
              <w:jc w:val="center"/>
              <w:rPr>
                <w:rFonts w:asciiTheme="majorHAnsi" w:hAnsiTheme="majorHAnsi"/>
                <w:szCs w:val="20"/>
                <w:lang w:val="el-GR"/>
              </w:rPr>
            </w:pPr>
            <w:r w:rsidRPr="0088295E">
              <w:rPr>
                <w:rFonts w:asciiTheme="majorHAnsi" w:hAnsiTheme="majorHAnsi"/>
                <w:szCs w:val="20"/>
                <w:lang w:val="el-GR"/>
              </w:rPr>
              <w:t>68</w:t>
            </w:r>
          </w:p>
        </w:tc>
        <w:tc>
          <w:tcPr>
            <w:tcW w:w="358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30C4A7" w14:textId="77777777" w:rsidR="00A141F0" w:rsidRPr="0088295E" w:rsidRDefault="0088295E" w:rsidP="0088295E">
            <w:pPr>
              <w:jc w:val="center"/>
              <w:rPr>
                <w:rFonts w:asciiTheme="majorHAnsi" w:hAnsiTheme="majorHAnsi"/>
                <w:szCs w:val="20"/>
                <w:lang w:val="el-GR"/>
              </w:rPr>
            </w:pPr>
            <w:r w:rsidRPr="0088295E">
              <w:rPr>
                <w:rFonts w:asciiTheme="majorHAnsi" w:hAnsiTheme="majorHAnsi"/>
                <w:szCs w:val="20"/>
                <w:lang w:val="el-GR"/>
              </w:rPr>
              <w:t>25</w:t>
            </w:r>
          </w:p>
        </w:tc>
      </w:tr>
    </w:tbl>
    <w:p w14:paraId="09C9DE0A" w14:textId="77777777" w:rsidR="0088295E" w:rsidRDefault="0088295E" w:rsidP="00827975">
      <w:pPr>
        <w:spacing w:before="120" w:after="120" w:line="360" w:lineRule="auto"/>
        <w:rPr>
          <w:rFonts w:asciiTheme="majorHAnsi" w:hAnsiTheme="majorHAnsi"/>
          <w:sz w:val="22"/>
          <w:lang w:val="el-GR"/>
        </w:rPr>
      </w:pPr>
    </w:p>
    <w:p w14:paraId="000E49CD" w14:textId="7136ED09" w:rsidR="00E202D2" w:rsidRDefault="00766465" w:rsidP="00827975">
      <w:pPr>
        <w:spacing w:before="120" w:after="120" w:line="360" w:lineRule="auto"/>
        <w:rPr>
          <w:rFonts w:asciiTheme="majorHAnsi" w:hAnsiTheme="majorHAnsi"/>
          <w:sz w:val="22"/>
          <w:lang w:val="el-GR"/>
        </w:rPr>
      </w:pPr>
      <w:r>
        <w:rPr>
          <w:rFonts w:asciiTheme="majorHAnsi" w:hAnsiTheme="majorHAnsi"/>
          <w:sz w:val="22"/>
          <w:lang w:val="el-GR"/>
        </w:rPr>
        <w:t xml:space="preserve">Ο ΕΟΠΥΥ έχει αναπτύξει σύστημα διαχείρισης των καταγγελιών αναφορικά με την παραβίαση της ισχύουσας νομοθεσίας, των κανόνων δεοντολογίας του Οργανισμού, καθώς και της προστασίας της προσωπικότητας και της αξιοπρέπειας των πολιτών στις σχέσεις τους με τους παρόχους και τους υπαλλήλους του Οργανισμού. </w:t>
      </w:r>
    </w:p>
    <w:p w14:paraId="02063D7E" w14:textId="77777777" w:rsidR="000803F2" w:rsidRDefault="000803F2" w:rsidP="00827975">
      <w:pPr>
        <w:spacing w:before="120" w:after="120" w:line="360" w:lineRule="auto"/>
        <w:rPr>
          <w:rFonts w:asciiTheme="majorHAnsi" w:hAnsiTheme="majorHAnsi"/>
          <w:sz w:val="22"/>
          <w:lang w:val="el-GR"/>
        </w:rPr>
      </w:pPr>
    </w:p>
    <w:p w14:paraId="4BBC2410" w14:textId="75788F8B" w:rsidR="00A72A3E" w:rsidRPr="000803F2" w:rsidRDefault="000803F2" w:rsidP="00827975">
      <w:pPr>
        <w:spacing w:before="120" w:after="120" w:line="360" w:lineRule="auto"/>
        <w:rPr>
          <w:rFonts w:asciiTheme="majorHAnsi" w:hAnsiTheme="majorHAnsi"/>
          <w:b/>
          <w:sz w:val="22"/>
          <w:lang w:val="el-GR"/>
        </w:rPr>
      </w:pPr>
      <w:r w:rsidRPr="000803F2">
        <w:rPr>
          <w:rFonts w:asciiTheme="majorHAnsi" w:hAnsiTheme="majorHAnsi"/>
          <w:b/>
          <w:sz w:val="22"/>
          <w:lang w:val="el-GR"/>
        </w:rPr>
        <w:t xml:space="preserve">Πίνακας </w:t>
      </w:r>
      <w:r w:rsidR="00CC38EF">
        <w:rPr>
          <w:rFonts w:asciiTheme="majorHAnsi" w:hAnsiTheme="majorHAnsi"/>
          <w:b/>
          <w:sz w:val="22"/>
          <w:lang w:val="el-GR"/>
        </w:rPr>
        <w:t>10</w:t>
      </w:r>
      <w:r w:rsidRPr="000803F2">
        <w:rPr>
          <w:rFonts w:asciiTheme="majorHAnsi" w:hAnsiTheme="majorHAnsi"/>
          <w:b/>
          <w:sz w:val="22"/>
          <w:lang w:val="el-GR"/>
        </w:rPr>
        <w:t>. Καταγγελίες, 2014</w:t>
      </w:r>
    </w:p>
    <w:tbl>
      <w:tblPr>
        <w:tblW w:w="10490" w:type="dxa"/>
        <w:tblInd w:w="-885" w:type="dxa"/>
        <w:tblLayout w:type="fixed"/>
        <w:tblLook w:val="04A0" w:firstRow="1" w:lastRow="0" w:firstColumn="1" w:lastColumn="0" w:noHBand="0" w:noVBand="1"/>
      </w:tblPr>
      <w:tblGrid>
        <w:gridCol w:w="1560"/>
        <w:gridCol w:w="1134"/>
        <w:gridCol w:w="999"/>
        <w:gridCol w:w="1269"/>
        <w:gridCol w:w="1276"/>
        <w:gridCol w:w="1134"/>
        <w:gridCol w:w="992"/>
        <w:gridCol w:w="1134"/>
        <w:gridCol w:w="992"/>
      </w:tblGrid>
      <w:tr w:rsidR="00554552" w:rsidRPr="00A72A3E" w14:paraId="2E649DD2" w14:textId="77777777" w:rsidTr="00300F5C">
        <w:trPr>
          <w:trHeight w:val="600"/>
        </w:trPr>
        <w:tc>
          <w:tcPr>
            <w:tcW w:w="1560" w:type="dxa"/>
            <w:tcBorders>
              <w:top w:val="single" w:sz="4" w:space="0" w:color="auto"/>
              <w:left w:val="single" w:sz="4" w:space="0" w:color="auto"/>
              <w:bottom w:val="single" w:sz="4" w:space="0" w:color="95B3D7"/>
              <w:right w:val="single" w:sz="4" w:space="0" w:color="auto"/>
            </w:tcBorders>
            <w:shd w:val="clear" w:color="DCE6F1" w:fill="DCE6F1"/>
            <w:vAlign w:val="bottom"/>
            <w:hideMark/>
          </w:tcPr>
          <w:p w14:paraId="65D253DA" w14:textId="0E3F44B3" w:rsidR="00554552" w:rsidRPr="00554552" w:rsidRDefault="00554552" w:rsidP="00A72A3E">
            <w:pPr>
              <w:jc w:val="center"/>
              <w:rPr>
                <w:rFonts w:asciiTheme="majorHAnsi" w:eastAsia="Times New Roman" w:hAnsiTheme="majorHAnsi" w:cs="Times New Roman"/>
                <w:b/>
                <w:bCs/>
                <w:color w:val="000000"/>
                <w:sz w:val="18"/>
                <w:szCs w:val="18"/>
                <w:lang w:val="el-GR" w:eastAsia="el-GR"/>
              </w:rPr>
            </w:pPr>
            <w:r w:rsidRPr="00554552">
              <w:rPr>
                <w:rFonts w:asciiTheme="majorHAnsi" w:eastAsia="Times New Roman" w:hAnsiTheme="majorHAnsi" w:cs="Times New Roman"/>
                <w:b/>
                <w:bCs/>
                <w:color w:val="000000"/>
                <w:szCs w:val="18"/>
                <w:lang w:val="el-GR" w:eastAsia="el-GR"/>
              </w:rPr>
              <w:t>2014</w:t>
            </w:r>
          </w:p>
        </w:tc>
        <w:tc>
          <w:tcPr>
            <w:tcW w:w="8930" w:type="dxa"/>
            <w:gridSpan w:val="8"/>
            <w:tcBorders>
              <w:top w:val="single" w:sz="4" w:space="0" w:color="auto"/>
              <w:left w:val="single" w:sz="4" w:space="0" w:color="auto"/>
              <w:bottom w:val="single" w:sz="4" w:space="0" w:color="auto"/>
              <w:right w:val="single" w:sz="4" w:space="0" w:color="auto"/>
            </w:tcBorders>
            <w:shd w:val="clear" w:color="DCE6F1" w:fill="DCE6F1"/>
            <w:vAlign w:val="center"/>
          </w:tcPr>
          <w:p w14:paraId="06E23053" w14:textId="7C5C921D"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p>
        </w:tc>
      </w:tr>
      <w:tr w:rsidR="00554552" w:rsidRPr="00A72A3E" w14:paraId="71A27FE6" w14:textId="77777777" w:rsidTr="00554552">
        <w:trPr>
          <w:trHeight w:val="600"/>
        </w:trPr>
        <w:tc>
          <w:tcPr>
            <w:tcW w:w="1560" w:type="dxa"/>
            <w:tcBorders>
              <w:top w:val="single" w:sz="4" w:space="0" w:color="auto"/>
              <w:left w:val="single" w:sz="4" w:space="0" w:color="auto"/>
              <w:bottom w:val="single" w:sz="4" w:space="0" w:color="95B3D7"/>
              <w:right w:val="single" w:sz="4" w:space="0" w:color="auto"/>
            </w:tcBorders>
            <w:shd w:val="clear" w:color="DCE6F1" w:fill="DCE6F1"/>
            <w:vAlign w:val="bottom"/>
          </w:tcPr>
          <w:p w14:paraId="58080275" w14:textId="77777777"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tcPr>
          <w:p w14:paraId="4653293B" w14:textId="6E4F46CB"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ΚΑΤΑΓΓΕΛΙΑ</w:t>
            </w:r>
          </w:p>
        </w:tc>
        <w:tc>
          <w:tcPr>
            <w:tcW w:w="999" w:type="dxa"/>
            <w:tcBorders>
              <w:top w:val="single" w:sz="4" w:space="0" w:color="auto"/>
              <w:left w:val="single" w:sz="4" w:space="0" w:color="auto"/>
              <w:bottom w:val="single" w:sz="4" w:space="0" w:color="95B3D7"/>
              <w:right w:val="single" w:sz="4" w:space="0" w:color="auto"/>
            </w:tcBorders>
            <w:shd w:val="clear" w:color="DCE6F1" w:fill="DCE6F1"/>
            <w:vAlign w:val="center"/>
          </w:tcPr>
          <w:p w14:paraId="7F619765" w14:textId="725BD00E"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ΓΡΑΠΤΕΣ ΕΞΗΓΗΣΕΙΣ</w:t>
            </w:r>
          </w:p>
        </w:tc>
        <w:tc>
          <w:tcPr>
            <w:tcW w:w="1269" w:type="dxa"/>
            <w:tcBorders>
              <w:top w:val="single" w:sz="4" w:space="0" w:color="auto"/>
              <w:left w:val="single" w:sz="4" w:space="0" w:color="auto"/>
              <w:bottom w:val="single" w:sz="4" w:space="0" w:color="95B3D7"/>
              <w:right w:val="single" w:sz="4" w:space="0" w:color="auto"/>
            </w:tcBorders>
            <w:shd w:val="clear" w:color="DCE6F1" w:fill="DCE6F1"/>
            <w:vAlign w:val="center"/>
          </w:tcPr>
          <w:p w14:paraId="5DF9EB29" w14:textId="4749A218"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ΑΠΑΝΤΗΣΗ ΔΙΕΡΕΥΝΗΣΗΣ</w:t>
            </w:r>
          </w:p>
        </w:tc>
        <w:tc>
          <w:tcPr>
            <w:tcW w:w="1276" w:type="dxa"/>
            <w:tcBorders>
              <w:top w:val="single" w:sz="4" w:space="0" w:color="auto"/>
              <w:left w:val="single" w:sz="4" w:space="0" w:color="auto"/>
              <w:bottom w:val="single" w:sz="4" w:space="0" w:color="95B3D7"/>
              <w:right w:val="single" w:sz="4" w:space="0" w:color="auto"/>
            </w:tcBorders>
            <w:shd w:val="clear" w:color="DCE6F1" w:fill="DCE6F1"/>
            <w:vAlign w:val="center"/>
          </w:tcPr>
          <w:p w14:paraId="57BF6C45" w14:textId="6EDC5A0B"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ΣΧΕΤΙΚΟ ΚΑΤΑΓΓΕΛΙΑΣ</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tcPr>
          <w:p w14:paraId="65A96DE1" w14:textId="7F8EEE82"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ΕΠΙΒΟΛΗ ΚΥΡΩΣΕΩΝ</w:t>
            </w:r>
            <w:r w:rsidR="002F6EE7">
              <w:rPr>
                <w:rStyle w:val="a7"/>
                <w:rFonts w:asciiTheme="majorHAnsi" w:eastAsia="Times New Roman" w:hAnsiTheme="majorHAnsi" w:cs="Times New Roman"/>
                <w:b/>
                <w:bCs/>
                <w:color w:val="000000"/>
                <w:sz w:val="18"/>
                <w:szCs w:val="18"/>
                <w:lang w:val="el-GR" w:eastAsia="el-GR"/>
              </w:rPr>
              <w:footnoteReference w:id="15"/>
            </w:r>
          </w:p>
        </w:tc>
        <w:tc>
          <w:tcPr>
            <w:tcW w:w="992" w:type="dxa"/>
            <w:tcBorders>
              <w:top w:val="single" w:sz="4" w:space="0" w:color="auto"/>
              <w:left w:val="single" w:sz="4" w:space="0" w:color="auto"/>
              <w:bottom w:val="single" w:sz="4" w:space="0" w:color="95B3D7"/>
              <w:right w:val="single" w:sz="4" w:space="0" w:color="auto"/>
            </w:tcBorders>
            <w:shd w:val="clear" w:color="DCE6F1" w:fill="DCE6F1"/>
            <w:vAlign w:val="center"/>
          </w:tcPr>
          <w:p w14:paraId="2FE93046" w14:textId="7885B09E"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ΕΡΩΤΗΜΑ</w:t>
            </w:r>
          </w:p>
        </w:tc>
        <w:tc>
          <w:tcPr>
            <w:tcW w:w="1134" w:type="dxa"/>
            <w:tcBorders>
              <w:top w:val="single" w:sz="4" w:space="0" w:color="auto"/>
              <w:left w:val="single" w:sz="4" w:space="0" w:color="auto"/>
              <w:bottom w:val="single" w:sz="4" w:space="0" w:color="95B3D7"/>
              <w:right w:val="single" w:sz="4" w:space="0" w:color="auto"/>
            </w:tcBorders>
            <w:shd w:val="clear" w:color="DCE6F1" w:fill="DCE6F1"/>
            <w:vAlign w:val="center"/>
          </w:tcPr>
          <w:p w14:paraId="1FEDB79C" w14:textId="3BD596A2"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ΠΡΟΩΘΗΣΗ</w:t>
            </w:r>
          </w:p>
        </w:tc>
        <w:tc>
          <w:tcPr>
            <w:tcW w:w="992" w:type="dxa"/>
            <w:tcBorders>
              <w:top w:val="single" w:sz="4" w:space="0" w:color="auto"/>
              <w:left w:val="single" w:sz="4" w:space="0" w:color="auto"/>
              <w:bottom w:val="single" w:sz="4" w:space="0" w:color="95B3D7"/>
              <w:right w:val="single" w:sz="4" w:space="0" w:color="auto"/>
            </w:tcBorders>
            <w:shd w:val="clear" w:color="DCE6F1" w:fill="DCE6F1"/>
            <w:vAlign w:val="center"/>
          </w:tcPr>
          <w:p w14:paraId="7DA9AEC4" w14:textId="0C009ACC" w:rsidR="00554552" w:rsidRPr="00A72A3E" w:rsidRDefault="00554552" w:rsidP="00A72A3E">
            <w:pPr>
              <w:jc w:val="cente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Γενικό Άθροισμα</w:t>
            </w:r>
          </w:p>
        </w:tc>
      </w:tr>
      <w:tr w:rsidR="00A72A3E" w:rsidRPr="00A72A3E" w14:paraId="6DE4F3B4" w14:textId="77777777" w:rsidTr="00A72A3E">
        <w:trPr>
          <w:trHeight w:val="315"/>
        </w:trPr>
        <w:tc>
          <w:tcPr>
            <w:tcW w:w="1560" w:type="dxa"/>
            <w:tcBorders>
              <w:top w:val="single" w:sz="4" w:space="0" w:color="auto"/>
              <w:left w:val="single" w:sz="4" w:space="0" w:color="auto"/>
              <w:bottom w:val="single" w:sz="4" w:space="0" w:color="95B3D7"/>
              <w:right w:val="single" w:sz="4" w:space="0" w:color="auto"/>
            </w:tcBorders>
            <w:shd w:val="clear" w:color="D9D9D9" w:fill="D9D9D9"/>
            <w:noWrap/>
            <w:vAlign w:val="bottom"/>
            <w:hideMark/>
          </w:tcPr>
          <w:p w14:paraId="65074792" w14:textId="5EE66BAE"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ΙΑΝΟΥΑΡΙΟΣ </w:t>
            </w:r>
          </w:p>
        </w:tc>
        <w:tc>
          <w:tcPr>
            <w:tcW w:w="1134"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6351946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25</w:t>
            </w:r>
          </w:p>
        </w:tc>
        <w:tc>
          <w:tcPr>
            <w:tcW w:w="999"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4BB7815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w:t>
            </w:r>
          </w:p>
        </w:tc>
        <w:tc>
          <w:tcPr>
            <w:tcW w:w="1269"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59E9065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17</w:t>
            </w:r>
          </w:p>
        </w:tc>
        <w:tc>
          <w:tcPr>
            <w:tcW w:w="1276"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5BA46854"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w:t>
            </w:r>
          </w:p>
        </w:tc>
        <w:tc>
          <w:tcPr>
            <w:tcW w:w="1134"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4D4357F9"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w:t>
            </w:r>
          </w:p>
        </w:tc>
        <w:tc>
          <w:tcPr>
            <w:tcW w:w="992"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2B92D62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3B2E892F"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single" w:sz="4" w:space="0" w:color="auto"/>
              <w:left w:val="single" w:sz="4" w:space="0" w:color="auto"/>
              <w:bottom w:val="single" w:sz="4" w:space="0" w:color="95B3D7"/>
              <w:right w:val="single" w:sz="4" w:space="0" w:color="auto"/>
            </w:tcBorders>
            <w:shd w:val="clear" w:color="D9D9D9" w:fill="D9D9D9"/>
            <w:noWrap/>
            <w:vAlign w:val="center"/>
            <w:hideMark/>
          </w:tcPr>
          <w:p w14:paraId="0351A2F3"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55</w:t>
            </w:r>
          </w:p>
        </w:tc>
      </w:tr>
      <w:tr w:rsidR="00A72A3E" w:rsidRPr="00A72A3E" w14:paraId="19ED7C32"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auto" w:fill="auto"/>
            <w:noWrap/>
            <w:vAlign w:val="bottom"/>
            <w:hideMark/>
          </w:tcPr>
          <w:p w14:paraId="03663FC6" w14:textId="48BDE2AE"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ΦΕΒΡΟΥΑΡΙΟΣ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04A9516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33</w:t>
            </w:r>
          </w:p>
        </w:tc>
        <w:tc>
          <w:tcPr>
            <w:tcW w:w="999" w:type="dxa"/>
            <w:tcBorders>
              <w:top w:val="nil"/>
              <w:left w:val="single" w:sz="4" w:space="0" w:color="auto"/>
              <w:bottom w:val="single" w:sz="4" w:space="0" w:color="95B3D7"/>
              <w:right w:val="single" w:sz="4" w:space="0" w:color="auto"/>
            </w:tcBorders>
            <w:shd w:val="clear" w:color="auto" w:fill="auto"/>
            <w:noWrap/>
            <w:vAlign w:val="center"/>
            <w:hideMark/>
          </w:tcPr>
          <w:p w14:paraId="6EA4479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7</w:t>
            </w:r>
          </w:p>
        </w:tc>
        <w:tc>
          <w:tcPr>
            <w:tcW w:w="1269" w:type="dxa"/>
            <w:tcBorders>
              <w:top w:val="nil"/>
              <w:left w:val="single" w:sz="4" w:space="0" w:color="auto"/>
              <w:bottom w:val="single" w:sz="4" w:space="0" w:color="95B3D7"/>
              <w:right w:val="single" w:sz="4" w:space="0" w:color="auto"/>
            </w:tcBorders>
            <w:shd w:val="clear" w:color="auto" w:fill="auto"/>
            <w:noWrap/>
            <w:vAlign w:val="center"/>
            <w:hideMark/>
          </w:tcPr>
          <w:p w14:paraId="2F5B32A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8</w:t>
            </w:r>
          </w:p>
        </w:tc>
        <w:tc>
          <w:tcPr>
            <w:tcW w:w="1276" w:type="dxa"/>
            <w:tcBorders>
              <w:top w:val="nil"/>
              <w:left w:val="single" w:sz="4" w:space="0" w:color="auto"/>
              <w:bottom w:val="single" w:sz="4" w:space="0" w:color="95B3D7"/>
              <w:right w:val="single" w:sz="4" w:space="0" w:color="auto"/>
            </w:tcBorders>
            <w:shd w:val="clear" w:color="auto" w:fill="auto"/>
            <w:noWrap/>
            <w:vAlign w:val="center"/>
            <w:hideMark/>
          </w:tcPr>
          <w:p w14:paraId="58B3704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10</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76E67F4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4</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03AD7E7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31D9739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7E3387C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62</w:t>
            </w:r>
          </w:p>
        </w:tc>
      </w:tr>
      <w:tr w:rsidR="00A72A3E" w:rsidRPr="00A72A3E" w14:paraId="181FE06A"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D9D9D9" w:fill="D9D9D9"/>
            <w:noWrap/>
            <w:vAlign w:val="bottom"/>
            <w:hideMark/>
          </w:tcPr>
          <w:p w14:paraId="46C250F9" w14:textId="3809FD17"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ΜΑΡΤΙΟΣ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27A92CE3"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50</w:t>
            </w:r>
          </w:p>
        </w:tc>
        <w:tc>
          <w:tcPr>
            <w:tcW w:w="999" w:type="dxa"/>
            <w:tcBorders>
              <w:top w:val="nil"/>
              <w:left w:val="single" w:sz="4" w:space="0" w:color="auto"/>
              <w:bottom w:val="single" w:sz="4" w:space="0" w:color="95B3D7"/>
              <w:right w:val="single" w:sz="4" w:space="0" w:color="auto"/>
            </w:tcBorders>
            <w:shd w:val="clear" w:color="D9D9D9" w:fill="D9D9D9"/>
            <w:noWrap/>
            <w:vAlign w:val="center"/>
            <w:hideMark/>
          </w:tcPr>
          <w:p w14:paraId="202BBE6F"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12</w:t>
            </w:r>
          </w:p>
        </w:tc>
        <w:tc>
          <w:tcPr>
            <w:tcW w:w="1269" w:type="dxa"/>
            <w:tcBorders>
              <w:top w:val="nil"/>
              <w:left w:val="single" w:sz="4" w:space="0" w:color="auto"/>
              <w:bottom w:val="single" w:sz="4" w:space="0" w:color="95B3D7"/>
              <w:right w:val="single" w:sz="4" w:space="0" w:color="auto"/>
            </w:tcBorders>
            <w:shd w:val="clear" w:color="D9D9D9" w:fill="D9D9D9"/>
            <w:noWrap/>
            <w:vAlign w:val="center"/>
            <w:hideMark/>
          </w:tcPr>
          <w:p w14:paraId="4935641E"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w:t>
            </w:r>
          </w:p>
        </w:tc>
        <w:tc>
          <w:tcPr>
            <w:tcW w:w="1276" w:type="dxa"/>
            <w:tcBorders>
              <w:top w:val="nil"/>
              <w:left w:val="single" w:sz="4" w:space="0" w:color="auto"/>
              <w:bottom w:val="single" w:sz="4" w:space="0" w:color="95B3D7"/>
              <w:right w:val="single" w:sz="4" w:space="0" w:color="auto"/>
            </w:tcBorders>
            <w:shd w:val="clear" w:color="D9D9D9" w:fill="D9D9D9"/>
            <w:noWrap/>
            <w:vAlign w:val="center"/>
            <w:hideMark/>
          </w:tcPr>
          <w:p w14:paraId="204EAAC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11</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04FAE3B3"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2</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27FDF51D"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54B11E0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29D9806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78</w:t>
            </w:r>
          </w:p>
        </w:tc>
      </w:tr>
      <w:tr w:rsidR="00A72A3E" w:rsidRPr="00A72A3E" w14:paraId="727F4BF3"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auto" w:fill="auto"/>
            <w:noWrap/>
            <w:vAlign w:val="bottom"/>
            <w:hideMark/>
          </w:tcPr>
          <w:p w14:paraId="19F0F2B0" w14:textId="0D62342A"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ΑΠΡΙΛΙΟΣ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4B9B1BE9"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38</w:t>
            </w:r>
          </w:p>
        </w:tc>
        <w:tc>
          <w:tcPr>
            <w:tcW w:w="999" w:type="dxa"/>
            <w:tcBorders>
              <w:top w:val="nil"/>
              <w:left w:val="single" w:sz="4" w:space="0" w:color="auto"/>
              <w:bottom w:val="single" w:sz="4" w:space="0" w:color="95B3D7"/>
              <w:right w:val="single" w:sz="4" w:space="0" w:color="auto"/>
            </w:tcBorders>
            <w:shd w:val="clear" w:color="auto" w:fill="auto"/>
            <w:noWrap/>
            <w:vAlign w:val="center"/>
            <w:hideMark/>
          </w:tcPr>
          <w:p w14:paraId="188A888C"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w:t>
            </w:r>
          </w:p>
        </w:tc>
        <w:tc>
          <w:tcPr>
            <w:tcW w:w="1269" w:type="dxa"/>
            <w:tcBorders>
              <w:top w:val="nil"/>
              <w:left w:val="single" w:sz="4" w:space="0" w:color="auto"/>
              <w:bottom w:val="single" w:sz="4" w:space="0" w:color="95B3D7"/>
              <w:right w:val="single" w:sz="4" w:space="0" w:color="auto"/>
            </w:tcBorders>
            <w:shd w:val="clear" w:color="auto" w:fill="auto"/>
            <w:noWrap/>
            <w:vAlign w:val="center"/>
            <w:hideMark/>
          </w:tcPr>
          <w:p w14:paraId="15A5209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w:t>
            </w:r>
          </w:p>
        </w:tc>
        <w:tc>
          <w:tcPr>
            <w:tcW w:w="1276" w:type="dxa"/>
            <w:tcBorders>
              <w:top w:val="nil"/>
              <w:left w:val="single" w:sz="4" w:space="0" w:color="auto"/>
              <w:bottom w:val="single" w:sz="4" w:space="0" w:color="95B3D7"/>
              <w:right w:val="single" w:sz="4" w:space="0" w:color="auto"/>
            </w:tcBorders>
            <w:shd w:val="clear" w:color="auto" w:fill="auto"/>
            <w:noWrap/>
            <w:vAlign w:val="center"/>
            <w:hideMark/>
          </w:tcPr>
          <w:p w14:paraId="7AE08131"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4</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11C93F6C"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7092C73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49F12634"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43536CBC"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50</w:t>
            </w:r>
          </w:p>
        </w:tc>
      </w:tr>
      <w:tr w:rsidR="00A72A3E" w:rsidRPr="00A72A3E" w14:paraId="137A8E2B"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D9D9D9" w:fill="D9D9D9"/>
            <w:noWrap/>
            <w:vAlign w:val="bottom"/>
            <w:hideMark/>
          </w:tcPr>
          <w:p w14:paraId="18919973" w14:textId="201302F0" w:rsidR="00A72A3E" w:rsidRPr="00554552" w:rsidRDefault="002F6EE7" w:rsidP="00554552">
            <w:pPr>
              <w:ind w:firstLineChars="100" w:firstLine="180"/>
              <w:jc w:val="right"/>
              <w:rPr>
                <w:rFonts w:asciiTheme="majorHAnsi" w:eastAsia="Times New Roman" w:hAnsiTheme="majorHAnsi" w:cs="Times New Roman"/>
                <w:bCs/>
                <w:color w:val="000000"/>
                <w:sz w:val="18"/>
                <w:szCs w:val="18"/>
                <w:lang w:val="el-GR" w:eastAsia="el-GR"/>
              </w:rPr>
            </w:pPr>
            <w:r>
              <w:rPr>
                <w:rFonts w:asciiTheme="majorHAnsi" w:eastAsia="Times New Roman" w:hAnsiTheme="majorHAnsi" w:cs="Times New Roman"/>
                <w:bCs/>
                <w:color w:val="000000"/>
                <w:sz w:val="18"/>
                <w:szCs w:val="18"/>
                <w:lang w:val="el-GR" w:eastAsia="el-GR"/>
              </w:rPr>
              <w:t>ΜΑΙ</w:t>
            </w:r>
            <w:r w:rsidR="00A72A3E" w:rsidRPr="00554552">
              <w:rPr>
                <w:rFonts w:asciiTheme="majorHAnsi" w:eastAsia="Times New Roman" w:hAnsiTheme="majorHAnsi" w:cs="Times New Roman"/>
                <w:bCs/>
                <w:color w:val="000000"/>
                <w:sz w:val="18"/>
                <w:szCs w:val="18"/>
                <w:lang w:val="el-GR" w:eastAsia="el-GR"/>
              </w:rPr>
              <w:t xml:space="preserve">ΟΣ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24B8811C"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34</w:t>
            </w:r>
          </w:p>
        </w:tc>
        <w:tc>
          <w:tcPr>
            <w:tcW w:w="999" w:type="dxa"/>
            <w:tcBorders>
              <w:top w:val="nil"/>
              <w:left w:val="single" w:sz="4" w:space="0" w:color="auto"/>
              <w:bottom w:val="single" w:sz="4" w:space="0" w:color="95B3D7"/>
              <w:right w:val="single" w:sz="4" w:space="0" w:color="auto"/>
            </w:tcBorders>
            <w:shd w:val="clear" w:color="D9D9D9" w:fill="D9D9D9"/>
            <w:noWrap/>
            <w:vAlign w:val="center"/>
            <w:hideMark/>
          </w:tcPr>
          <w:p w14:paraId="553DC8B7"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113</w:t>
            </w:r>
          </w:p>
        </w:tc>
        <w:tc>
          <w:tcPr>
            <w:tcW w:w="1269" w:type="dxa"/>
            <w:tcBorders>
              <w:top w:val="nil"/>
              <w:left w:val="single" w:sz="4" w:space="0" w:color="auto"/>
              <w:bottom w:val="single" w:sz="4" w:space="0" w:color="95B3D7"/>
              <w:right w:val="single" w:sz="4" w:space="0" w:color="auto"/>
            </w:tcBorders>
            <w:shd w:val="clear" w:color="D9D9D9" w:fill="D9D9D9"/>
            <w:noWrap/>
            <w:vAlign w:val="center"/>
            <w:hideMark/>
          </w:tcPr>
          <w:p w14:paraId="3E4A0180"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w:t>
            </w:r>
          </w:p>
        </w:tc>
        <w:tc>
          <w:tcPr>
            <w:tcW w:w="1276" w:type="dxa"/>
            <w:tcBorders>
              <w:top w:val="nil"/>
              <w:left w:val="single" w:sz="4" w:space="0" w:color="auto"/>
              <w:bottom w:val="single" w:sz="4" w:space="0" w:color="95B3D7"/>
              <w:right w:val="single" w:sz="4" w:space="0" w:color="auto"/>
            </w:tcBorders>
            <w:shd w:val="clear" w:color="D9D9D9" w:fill="D9D9D9"/>
            <w:noWrap/>
            <w:vAlign w:val="center"/>
            <w:hideMark/>
          </w:tcPr>
          <w:p w14:paraId="3828705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8</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026B194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61B5271C"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7DAA3C1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06D0CDF9"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158</w:t>
            </w:r>
          </w:p>
        </w:tc>
      </w:tr>
      <w:tr w:rsidR="00A72A3E" w:rsidRPr="00A72A3E" w14:paraId="60D36D38"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auto" w:fill="auto"/>
            <w:noWrap/>
            <w:vAlign w:val="bottom"/>
            <w:hideMark/>
          </w:tcPr>
          <w:p w14:paraId="5FACD0C0" w14:textId="12B2076B"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ΙΟΥΝΙΟΣ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03D13A6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29</w:t>
            </w:r>
          </w:p>
        </w:tc>
        <w:tc>
          <w:tcPr>
            <w:tcW w:w="999" w:type="dxa"/>
            <w:tcBorders>
              <w:top w:val="nil"/>
              <w:left w:val="single" w:sz="4" w:space="0" w:color="auto"/>
              <w:bottom w:val="single" w:sz="4" w:space="0" w:color="95B3D7"/>
              <w:right w:val="single" w:sz="4" w:space="0" w:color="auto"/>
            </w:tcBorders>
            <w:shd w:val="clear" w:color="auto" w:fill="auto"/>
            <w:noWrap/>
            <w:vAlign w:val="center"/>
            <w:hideMark/>
          </w:tcPr>
          <w:p w14:paraId="0CB972E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38</w:t>
            </w:r>
          </w:p>
        </w:tc>
        <w:tc>
          <w:tcPr>
            <w:tcW w:w="1269" w:type="dxa"/>
            <w:tcBorders>
              <w:top w:val="nil"/>
              <w:left w:val="single" w:sz="4" w:space="0" w:color="auto"/>
              <w:bottom w:val="single" w:sz="4" w:space="0" w:color="95B3D7"/>
              <w:right w:val="single" w:sz="4" w:space="0" w:color="auto"/>
            </w:tcBorders>
            <w:shd w:val="clear" w:color="auto" w:fill="auto"/>
            <w:noWrap/>
            <w:vAlign w:val="center"/>
            <w:hideMark/>
          </w:tcPr>
          <w:p w14:paraId="4179F5B0"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auto" w:fill="auto"/>
            <w:noWrap/>
            <w:vAlign w:val="center"/>
            <w:hideMark/>
          </w:tcPr>
          <w:p w14:paraId="7ED33EBF"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22</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091B0F1D"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6E1F8A6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4B0D541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59605CC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89</w:t>
            </w:r>
          </w:p>
        </w:tc>
      </w:tr>
      <w:tr w:rsidR="00A72A3E" w:rsidRPr="00A72A3E" w14:paraId="403B2784"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D9D9D9" w:fill="D9D9D9"/>
            <w:noWrap/>
            <w:vAlign w:val="bottom"/>
            <w:hideMark/>
          </w:tcPr>
          <w:p w14:paraId="2A11E904" w14:textId="5F59BD69"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ΙΟΥΛΙΟΣ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0C2518F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47</w:t>
            </w:r>
          </w:p>
        </w:tc>
        <w:tc>
          <w:tcPr>
            <w:tcW w:w="999" w:type="dxa"/>
            <w:tcBorders>
              <w:top w:val="nil"/>
              <w:left w:val="single" w:sz="4" w:space="0" w:color="auto"/>
              <w:bottom w:val="single" w:sz="4" w:space="0" w:color="95B3D7"/>
              <w:right w:val="single" w:sz="4" w:space="0" w:color="auto"/>
            </w:tcBorders>
            <w:shd w:val="clear" w:color="D9D9D9" w:fill="D9D9D9"/>
            <w:noWrap/>
            <w:vAlign w:val="center"/>
            <w:hideMark/>
          </w:tcPr>
          <w:p w14:paraId="063BA5C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22</w:t>
            </w:r>
          </w:p>
        </w:tc>
        <w:tc>
          <w:tcPr>
            <w:tcW w:w="1269" w:type="dxa"/>
            <w:tcBorders>
              <w:top w:val="nil"/>
              <w:left w:val="single" w:sz="4" w:space="0" w:color="auto"/>
              <w:bottom w:val="single" w:sz="4" w:space="0" w:color="95B3D7"/>
              <w:right w:val="single" w:sz="4" w:space="0" w:color="auto"/>
            </w:tcBorders>
            <w:shd w:val="clear" w:color="D9D9D9" w:fill="D9D9D9"/>
            <w:noWrap/>
            <w:vAlign w:val="center"/>
            <w:hideMark/>
          </w:tcPr>
          <w:p w14:paraId="3952B7C7"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D9D9D9" w:fill="D9D9D9"/>
            <w:noWrap/>
            <w:vAlign w:val="center"/>
            <w:hideMark/>
          </w:tcPr>
          <w:p w14:paraId="35611EE4"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12</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69EAE33F"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731CE09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35E118F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1787650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81</w:t>
            </w:r>
          </w:p>
        </w:tc>
      </w:tr>
      <w:tr w:rsidR="00A72A3E" w:rsidRPr="00A72A3E" w14:paraId="12951205"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auto" w:fill="auto"/>
            <w:noWrap/>
            <w:vAlign w:val="bottom"/>
            <w:hideMark/>
          </w:tcPr>
          <w:p w14:paraId="3867BD5C" w14:textId="10C46114"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ΑΥΓΟΥΣΤΟΣ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7ED8340E"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31</w:t>
            </w:r>
          </w:p>
        </w:tc>
        <w:tc>
          <w:tcPr>
            <w:tcW w:w="999" w:type="dxa"/>
            <w:tcBorders>
              <w:top w:val="nil"/>
              <w:left w:val="single" w:sz="4" w:space="0" w:color="auto"/>
              <w:bottom w:val="single" w:sz="4" w:space="0" w:color="95B3D7"/>
              <w:right w:val="single" w:sz="4" w:space="0" w:color="auto"/>
            </w:tcBorders>
            <w:shd w:val="clear" w:color="auto" w:fill="auto"/>
            <w:noWrap/>
            <w:vAlign w:val="center"/>
            <w:hideMark/>
          </w:tcPr>
          <w:p w14:paraId="475201C9"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12</w:t>
            </w:r>
          </w:p>
        </w:tc>
        <w:tc>
          <w:tcPr>
            <w:tcW w:w="1269" w:type="dxa"/>
            <w:tcBorders>
              <w:top w:val="nil"/>
              <w:left w:val="single" w:sz="4" w:space="0" w:color="auto"/>
              <w:bottom w:val="single" w:sz="4" w:space="0" w:color="95B3D7"/>
              <w:right w:val="single" w:sz="4" w:space="0" w:color="auto"/>
            </w:tcBorders>
            <w:shd w:val="clear" w:color="auto" w:fill="auto"/>
            <w:noWrap/>
            <w:vAlign w:val="center"/>
            <w:hideMark/>
          </w:tcPr>
          <w:p w14:paraId="301B49DF"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auto" w:fill="auto"/>
            <w:noWrap/>
            <w:vAlign w:val="center"/>
            <w:hideMark/>
          </w:tcPr>
          <w:p w14:paraId="21EDBF4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38D0341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266BA87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0B2A504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715630A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49</w:t>
            </w:r>
          </w:p>
        </w:tc>
      </w:tr>
      <w:tr w:rsidR="00A72A3E" w:rsidRPr="00A72A3E" w14:paraId="7C190AB1"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D9D9D9" w:fill="D9D9D9"/>
            <w:noWrap/>
            <w:vAlign w:val="bottom"/>
            <w:hideMark/>
          </w:tcPr>
          <w:p w14:paraId="7BE108D4" w14:textId="58CD0060"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ΣΕΠΤΕΜΒΡΙΟΣ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031CA401"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30</w:t>
            </w:r>
          </w:p>
        </w:tc>
        <w:tc>
          <w:tcPr>
            <w:tcW w:w="999" w:type="dxa"/>
            <w:tcBorders>
              <w:top w:val="nil"/>
              <w:left w:val="single" w:sz="4" w:space="0" w:color="auto"/>
              <w:bottom w:val="single" w:sz="4" w:space="0" w:color="95B3D7"/>
              <w:right w:val="single" w:sz="4" w:space="0" w:color="auto"/>
            </w:tcBorders>
            <w:shd w:val="clear" w:color="D9D9D9" w:fill="D9D9D9"/>
            <w:noWrap/>
            <w:vAlign w:val="center"/>
            <w:hideMark/>
          </w:tcPr>
          <w:p w14:paraId="7CCC7EE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16</w:t>
            </w:r>
          </w:p>
        </w:tc>
        <w:tc>
          <w:tcPr>
            <w:tcW w:w="1269" w:type="dxa"/>
            <w:tcBorders>
              <w:top w:val="nil"/>
              <w:left w:val="single" w:sz="4" w:space="0" w:color="auto"/>
              <w:bottom w:val="single" w:sz="4" w:space="0" w:color="95B3D7"/>
              <w:right w:val="single" w:sz="4" w:space="0" w:color="auto"/>
            </w:tcBorders>
            <w:shd w:val="clear" w:color="D9D9D9" w:fill="D9D9D9"/>
            <w:noWrap/>
            <w:vAlign w:val="center"/>
            <w:hideMark/>
          </w:tcPr>
          <w:p w14:paraId="4C2E054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D9D9D9" w:fill="D9D9D9"/>
            <w:noWrap/>
            <w:vAlign w:val="center"/>
            <w:hideMark/>
          </w:tcPr>
          <w:p w14:paraId="1C8DEBD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15</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0B9D1F34"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25C2B2AF"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394D9E2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71B9B31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61</w:t>
            </w:r>
          </w:p>
        </w:tc>
      </w:tr>
      <w:tr w:rsidR="00A72A3E" w:rsidRPr="00A72A3E" w14:paraId="1B2B4E21"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auto" w:fill="auto"/>
            <w:noWrap/>
            <w:vAlign w:val="bottom"/>
            <w:hideMark/>
          </w:tcPr>
          <w:p w14:paraId="67BC1A1D" w14:textId="0B41E754"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ΟΚΤΩΒΡΙΟΣ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3642C771"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18</w:t>
            </w:r>
          </w:p>
        </w:tc>
        <w:tc>
          <w:tcPr>
            <w:tcW w:w="999" w:type="dxa"/>
            <w:tcBorders>
              <w:top w:val="nil"/>
              <w:left w:val="single" w:sz="4" w:space="0" w:color="auto"/>
              <w:bottom w:val="single" w:sz="4" w:space="0" w:color="95B3D7"/>
              <w:right w:val="single" w:sz="4" w:space="0" w:color="auto"/>
            </w:tcBorders>
            <w:shd w:val="clear" w:color="auto" w:fill="auto"/>
            <w:noWrap/>
            <w:vAlign w:val="center"/>
            <w:hideMark/>
          </w:tcPr>
          <w:p w14:paraId="3AEA0C0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5</w:t>
            </w:r>
          </w:p>
        </w:tc>
        <w:tc>
          <w:tcPr>
            <w:tcW w:w="1269" w:type="dxa"/>
            <w:tcBorders>
              <w:top w:val="nil"/>
              <w:left w:val="single" w:sz="4" w:space="0" w:color="auto"/>
              <w:bottom w:val="single" w:sz="4" w:space="0" w:color="95B3D7"/>
              <w:right w:val="single" w:sz="4" w:space="0" w:color="auto"/>
            </w:tcBorders>
            <w:shd w:val="clear" w:color="auto" w:fill="auto"/>
            <w:noWrap/>
            <w:vAlign w:val="center"/>
            <w:hideMark/>
          </w:tcPr>
          <w:p w14:paraId="3FDC1114"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auto" w:fill="auto"/>
            <w:noWrap/>
            <w:vAlign w:val="center"/>
            <w:hideMark/>
          </w:tcPr>
          <w:p w14:paraId="7888105E"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7</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16E8D9C4"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7DF6F22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05B53DC8"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150FD35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30</w:t>
            </w:r>
          </w:p>
        </w:tc>
      </w:tr>
      <w:tr w:rsidR="00A72A3E" w:rsidRPr="00A72A3E" w14:paraId="4235575B"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D9D9D9" w:fill="D9D9D9"/>
            <w:noWrap/>
            <w:vAlign w:val="bottom"/>
            <w:hideMark/>
          </w:tcPr>
          <w:p w14:paraId="67611131" w14:textId="7A543EBB"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ΝΟΕΜΒΡΙΟΣ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11DD7067"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36</w:t>
            </w:r>
          </w:p>
        </w:tc>
        <w:tc>
          <w:tcPr>
            <w:tcW w:w="999" w:type="dxa"/>
            <w:tcBorders>
              <w:top w:val="nil"/>
              <w:left w:val="single" w:sz="4" w:space="0" w:color="auto"/>
              <w:bottom w:val="single" w:sz="4" w:space="0" w:color="95B3D7"/>
              <w:right w:val="single" w:sz="4" w:space="0" w:color="auto"/>
            </w:tcBorders>
            <w:shd w:val="clear" w:color="D9D9D9" w:fill="D9D9D9"/>
            <w:noWrap/>
            <w:vAlign w:val="center"/>
            <w:hideMark/>
          </w:tcPr>
          <w:p w14:paraId="772DCC99"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9</w:t>
            </w:r>
          </w:p>
        </w:tc>
        <w:tc>
          <w:tcPr>
            <w:tcW w:w="1269" w:type="dxa"/>
            <w:tcBorders>
              <w:top w:val="nil"/>
              <w:left w:val="single" w:sz="4" w:space="0" w:color="auto"/>
              <w:bottom w:val="single" w:sz="4" w:space="0" w:color="95B3D7"/>
              <w:right w:val="single" w:sz="4" w:space="0" w:color="auto"/>
            </w:tcBorders>
            <w:shd w:val="clear" w:color="D9D9D9" w:fill="D9D9D9"/>
            <w:noWrap/>
            <w:vAlign w:val="center"/>
            <w:hideMark/>
          </w:tcPr>
          <w:p w14:paraId="330EF7B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D9D9D9" w:fill="D9D9D9"/>
            <w:noWrap/>
            <w:vAlign w:val="center"/>
            <w:hideMark/>
          </w:tcPr>
          <w:p w14:paraId="6042750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708FB0C7"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537DC771"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134" w:type="dxa"/>
            <w:tcBorders>
              <w:top w:val="nil"/>
              <w:left w:val="single" w:sz="4" w:space="0" w:color="auto"/>
              <w:bottom w:val="single" w:sz="4" w:space="0" w:color="95B3D7"/>
              <w:right w:val="single" w:sz="4" w:space="0" w:color="auto"/>
            </w:tcBorders>
            <w:shd w:val="clear" w:color="D9D9D9" w:fill="D9D9D9"/>
            <w:noWrap/>
            <w:vAlign w:val="center"/>
            <w:hideMark/>
          </w:tcPr>
          <w:p w14:paraId="1B590B5A"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D9D9D9" w:fill="D9D9D9"/>
            <w:noWrap/>
            <w:vAlign w:val="center"/>
            <w:hideMark/>
          </w:tcPr>
          <w:p w14:paraId="4215323E"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46</w:t>
            </w:r>
          </w:p>
        </w:tc>
      </w:tr>
      <w:tr w:rsidR="00A72A3E" w:rsidRPr="00A72A3E" w14:paraId="69FDD11B" w14:textId="77777777" w:rsidTr="00A72A3E">
        <w:trPr>
          <w:trHeight w:val="315"/>
        </w:trPr>
        <w:tc>
          <w:tcPr>
            <w:tcW w:w="1560" w:type="dxa"/>
            <w:tcBorders>
              <w:top w:val="nil"/>
              <w:left w:val="single" w:sz="4" w:space="0" w:color="auto"/>
              <w:bottom w:val="single" w:sz="4" w:space="0" w:color="95B3D7"/>
              <w:right w:val="single" w:sz="4" w:space="0" w:color="auto"/>
            </w:tcBorders>
            <w:shd w:val="clear" w:color="auto" w:fill="auto"/>
            <w:noWrap/>
            <w:vAlign w:val="bottom"/>
            <w:hideMark/>
          </w:tcPr>
          <w:p w14:paraId="136507F1" w14:textId="0CF77523" w:rsidR="00A72A3E" w:rsidRPr="00554552" w:rsidRDefault="00A72A3E" w:rsidP="00554552">
            <w:pPr>
              <w:ind w:firstLineChars="100" w:firstLine="18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xml:space="preserve">ΔΕΚΕΜΒΡΙΟΣ </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25EE5FC6"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26</w:t>
            </w:r>
          </w:p>
        </w:tc>
        <w:tc>
          <w:tcPr>
            <w:tcW w:w="999" w:type="dxa"/>
            <w:tcBorders>
              <w:top w:val="nil"/>
              <w:left w:val="single" w:sz="4" w:space="0" w:color="auto"/>
              <w:bottom w:val="single" w:sz="4" w:space="0" w:color="95B3D7"/>
              <w:right w:val="single" w:sz="4" w:space="0" w:color="auto"/>
            </w:tcBorders>
            <w:shd w:val="clear" w:color="auto" w:fill="auto"/>
            <w:noWrap/>
            <w:vAlign w:val="center"/>
            <w:hideMark/>
          </w:tcPr>
          <w:p w14:paraId="44DD03C0"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12</w:t>
            </w:r>
          </w:p>
        </w:tc>
        <w:tc>
          <w:tcPr>
            <w:tcW w:w="1269" w:type="dxa"/>
            <w:tcBorders>
              <w:top w:val="nil"/>
              <w:left w:val="single" w:sz="4" w:space="0" w:color="auto"/>
              <w:bottom w:val="single" w:sz="4" w:space="0" w:color="95B3D7"/>
              <w:right w:val="single" w:sz="4" w:space="0" w:color="auto"/>
            </w:tcBorders>
            <w:shd w:val="clear" w:color="auto" w:fill="auto"/>
            <w:noWrap/>
            <w:vAlign w:val="center"/>
            <w:hideMark/>
          </w:tcPr>
          <w:p w14:paraId="6DE5A7E7"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1276" w:type="dxa"/>
            <w:tcBorders>
              <w:top w:val="nil"/>
              <w:left w:val="single" w:sz="4" w:space="0" w:color="auto"/>
              <w:bottom w:val="single" w:sz="4" w:space="0" w:color="95B3D7"/>
              <w:right w:val="single" w:sz="4" w:space="0" w:color="auto"/>
            </w:tcBorders>
            <w:shd w:val="clear" w:color="auto" w:fill="auto"/>
            <w:noWrap/>
            <w:vAlign w:val="center"/>
            <w:hideMark/>
          </w:tcPr>
          <w:p w14:paraId="1E6729E1"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6</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76BE5202"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 </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7E5D1C8C"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w:t>
            </w:r>
          </w:p>
        </w:tc>
        <w:tc>
          <w:tcPr>
            <w:tcW w:w="1134" w:type="dxa"/>
            <w:tcBorders>
              <w:top w:val="nil"/>
              <w:left w:val="single" w:sz="4" w:space="0" w:color="auto"/>
              <w:bottom w:val="single" w:sz="4" w:space="0" w:color="95B3D7"/>
              <w:right w:val="single" w:sz="4" w:space="0" w:color="auto"/>
            </w:tcBorders>
            <w:shd w:val="clear" w:color="auto" w:fill="auto"/>
            <w:noWrap/>
            <w:vAlign w:val="center"/>
            <w:hideMark/>
          </w:tcPr>
          <w:p w14:paraId="551D1095"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1</w:t>
            </w:r>
          </w:p>
        </w:tc>
        <w:tc>
          <w:tcPr>
            <w:tcW w:w="992" w:type="dxa"/>
            <w:tcBorders>
              <w:top w:val="nil"/>
              <w:left w:val="single" w:sz="4" w:space="0" w:color="auto"/>
              <w:bottom w:val="single" w:sz="4" w:space="0" w:color="95B3D7"/>
              <w:right w:val="single" w:sz="4" w:space="0" w:color="auto"/>
            </w:tcBorders>
            <w:shd w:val="clear" w:color="auto" w:fill="auto"/>
            <w:noWrap/>
            <w:vAlign w:val="center"/>
            <w:hideMark/>
          </w:tcPr>
          <w:p w14:paraId="5712095B" w14:textId="77777777" w:rsidR="00A72A3E" w:rsidRPr="00554552" w:rsidRDefault="00A72A3E" w:rsidP="00554552">
            <w:pPr>
              <w:ind w:firstLineChars="200" w:firstLine="360"/>
              <w:jc w:val="right"/>
              <w:rPr>
                <w:rFonts w:asciiTheme="majorHAnsi" w:eastAsia="Times New Roman" w:hAnsiTheme="majorHAnsi" w:cs="Times New Roman"/>
                <w:bCs/>
                <w:color w:val="000000"/>
                <w:sz w:val="18"/>
                <w:szCs w:val="18"/>
                <w:lang w:val="el-GR" w:eastAsia="el-GR"/>
              </w:rPr>
            </w:pPr>
            <w:r w:rsidRPr="00554552">
              <w:rPr>
                <w:rFonts w:asciiTheme="majorHAnsi" w:eastAsia="Times New Roman" w:hAnsiTheme="majorHAnsi" w:cs="Times New Roman"/>
                <w:bCs/>
                <w:color w:val="000000"/>
                <w:sz w:val="18"/>
                <w:szCs w:val="18"/>
                <w:lang w:val="el-GR" w:eastAsia="el-GR"/>
              </w:rPr>
              <w:t>46</w:t>
            </w:r>
          </w:p>
        </w:tc>
      </w:tr>
      <w:tr w:rsidR="00A72A3E" w:rsidRPr="00A72A3E" w14:paraId="1D77054F" w14:textId="77777777" w:rsidTr="00A72A3E">
        <w:trPr>
          <w:trHeight w:val="315"/>
        </w:trPr>
        <w:tc>
          <w:tcPr>
            <w:tcW w:w="1560" w:type="dxa"/>
            <w:tcBorders>
              <w:top w:val="single" w:sz="4" w:space="0" w:color="auto"/>
              <w:left w:val="single" w:sz="4" w:space="0" w:color="auto"/>
              <w:bottom w:val="nil"/>
              <w:right w:val="single" w:sz="4" w:space="0" w:color="auto"/>
            </w:tcBorders>
            <w:shd w:val="clear" w:color="DCE6F1" w:fill="DCE6F1"/>
            <w:noWrap/>
            <w:vAlign w:val="bottom"/>
            <w:hideMark/>
          </w:tcPr>
          <w:p w14:paraId="494BEBF9" w14:textId="77777777" w:rsidR="00A72A3E" w:rsidRPr="00A72A3E" w:rsidRDefault="00A72A3E" w:rsidP="00A72A3E">
            <w:pPr>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Γενικό Άθροισμα</w:t>
            </w:r>
          </w:p>
        </w:tc>
        <w:tc>
          <w:tcPr>
            <w:tcW w:w="1134" w:type="dxa"/>
            <w:tcBorders>
              <w:top w:val="single" w:sz="4" w:space="0" w:color="95B3D7"/>
              <w:left w:val="single" w:sz="4" w:space="0" w:color="auto"/>
              <w:bottom w:val="nil"/>
              <w:right w:val="single" w:sz="4" w:space="0" w:color="auto"/>
            </w:tcBorders>
            <w:shd w:val="clear" w:color="DCE6F1" w:fill="DCE6F1"/>
            <w:noWrap/>
            <w:vAlign w:val="bottom"/>
            <w:hideMark/>
          </w:tcPr>
          <w:p w14:paraId="00A89045"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397</w:t>
            </w:r>
          </w:p>
        </w:tc>
        <w:tc>
          <w:tcPr>
            <w:tcW w:w="999" w:type="dxa"/>
            <w:tcBorders>
              <w:top w:val="single" w:sz="4" w:space="0" w:color="95B3D7"/>
              <w:left w:val="single" w:sz="4" w:space="0" w:color="auto"/>
              <w:bottom w:val="nil"/>
              <w:right w:val="single" w:sz="4" w:space="0" w:color="auto"/>
            </w:tcBorders>
            <w:shd w:val="clear" w:color="DCE6F1" w:fill="DCE6F1"/>
            <w:noWrap/>
            <w:vAlign w:val="bottom"/>
            <w:hideMark/>
          </w:tcPr>
          <w:p w14:paraId="5DB34E41"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258</w:t>
            </w:r>
          </w:p>
        </w:tc>
        <w:tc>
          <w:tcPr>
            <w:tcW w:w="1269" w:type="dxa"/>
            <w:tcBorders>
              <w:top w:val="single" w:sz="4" w:space="0" w:color="95B3D7"/>
              <w:left w:val="single" w:sz="4" w:space="0" w:color="auto"/>
              <w:bottom w:val="nil"/>
              <w:right w:val="single" w:sz="4" w:space="0" w:color="auto"/>
            </w:tcBorders>
            <w:shd w:val="clear" w:color="DCE6F1" w:fill="DCE6F1"/>
            <w:noWrap/>
            <w:vAlign w:val="bottom"/>
            <w:hideMark/>
          </w:tcPr>
          <w:p w14:paraId="42CDED61"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32</w:t>
            </w:r>
          </w:p>
        </w:tc>
        <w:tc>
          <w:tcPr>
            <w:tcW w:w="1276" w:type="dxa"/>
            <w:tcBorders>
              <w:top w:val="single" w:sz="4" w:space="0" w:color="95B3D7"/>
              <w:left w:val="single" w:sz="4" w:space="0" w:color="auto"/>
              <w:bottom w:val="nil"/>
              <w:right w:val="single" w:sz="4" w:space="0" w:color="auto"/>
            </w:tcBorders>
            <w:shd w:val="clear" w:color="DCE6F1" w:fill="DCE6F1"/>
            <w:noWrap/>
            <w:vAlign w:val="bottom"/>
            <w:hideMark/>
          </w:tcPr>
          <w:p w14:paraId="71187867"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103</w:t>
            </w:r>
          </w:p>
        </w:tc>
        <w:tc>
          <w:tcPr>
            <w:tcW w:w="1134" w:type="dxa"/>
            <w:tcBorders>
              <w:top w:val="single" w:sz="4" w:space="0" w:color="95B3D7"/>
              <w:left w:val="single" w:sz="4" w:space="0" w:color="auto"/>
              <w:bottom w:val="nil"/>
              <w:right w:val="single" w:sz="4" w:space="0" w:color="auto"/>
            </w:tcBorders>
            <w:shd w:val="clear" w:color="DCE6F1" w:fill="DCE6F1"/>
            <w:noWrap/>
            <w:vAlign w:val="bottom"/>
            <w:hideMark/>
          </w:tcPr>
          <w:p w14:paraId="52D00346"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13</w:t>
            </w:r>
          </w:p>
        </w:tc>
        <w:tc>
          <w:tcPr>
            <w:tcW w:w="992" w:type="dxa"/>
            <w:tcBorders>
              <w:top w:val="single" w:sz="4" w:space="0" w:color="95B3D7"/>
              <w:left w:val="single" w:sz="4" w:space="0" w:color="auto"/>
              <w:bottom w:val="nil"/>
              <w:right w:val="single" w:sz="4" w:space="0" w:color="auto"/>
            </w:tcBorders>
            <w:shd w:val="clear" w:color="DCE6F1" w:fill="DCE6F1"/>
            <w:noWrap/>
            <w:vAlign w:val="bottom"/>
            <w:hideMark/>
          </w:tcPr>
          <w:p w14:paraId="111A7803"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1</w:t>
            </w:r>
          </w:p>
        </w:tc>
        <w:tc>
          <w:tcPr>
            <w:tcW w:w="1134" w:type="dxa"/>
            <w:tcBorders>
              <w:top w:val="single" w:sz="4" w:space="0" w:color="95B3D7"/>
              <w:left w:val="single" w:sz="4" w:space="0" w:color="auto"/>
              <w:bottom w:val="nil"/>
              <w:right w:val="single" w:sz="4" w:space="0" w:color="auto"/>
            </w:tcBorders>
            <w:shd w:val="clear" w:color="DCE6F1" w:fill="DCE6F1"/>
            <w:noWrap/>
            <w:vAlign w:val="bottom"/>
            <w:hideMark/>
          </w:tcPr>
          <w:p w14:paraId="3F7ACDED"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1</w:t>
            </w:r>
          </w:p>
        </w:tc>
        <w:tc>
          <w:tcPr>
            <w:tcW w:w="992" w:type="dxa"/>
            <w:tcBorders>
              <w:top w:val="single" w:sz="4" w:space="0" w:color="95B3D7"/>
              <w:left w:val="single" w:sz="4" w:space="0" w:color="auto"/>
              <w:bottom w:val="nil"/>
              <w:right w:val="single" w:sz="4" w:space="0" w:color="auto"/>
            </w:tcBorders>
            <w:shd w:val="clear" w:color="DCE6F1" w:fill="DCE6F1"/>
            <w:noWrap/>
            <w:vAlign w:val="bottom"/>
            <w:hideMark/>
          </w:tcPr>
          <w:p w14:paraId="653AD7D5" w14:textId="77777777" w:rsidR="00A72A3E" w:rsidRPr="00A72A3E" w:rsidRDefault="00A72A3E" w:rsidP="00A72A3E">
            <w:pPr>
              <w:jc w:val="right"/>
              <w:rPr>
                <w:rFonts w:asciiTheme="majorHAnsi" w:eastAsia="Times New Roman" w:hAnsiTheme="majorHAnsi" w:cs="Times New Roman"/>
                <w:b/>
                <w:bCs/>
                <w:color w:val="000000"/>
                <w:sz w:val="18"/>
                <w:szCs w:val="18"/>
                <w:lang w:val="el-GR" w:eastAsia="el-GR"/>
              </w:rPr>
            </w:pPr>
            <w:r w:rsidRPr="00A72A3E">
              <w:rPr>
                <w:rFonts w:asciiTheme="majorHAnsi" w:eastAsia="Times New Roman" w:hAnsiTheme="majorHAnsi" w:cs="Times New Roman"/>
                <w:b/>
                <w:bCs/>
                <w:color w:val="000000"/>
                <w:sz w:val="18"/>
                <w:szCs w:val="18"/>
                <w:lang w:val="el-GR" w:eastAsia="el-GR"/>
              </w:rPr>
              <w:t>805</w:t>
            </w:r>
          </w:p>
        </w:tc>
      </w:tr>
    </w:tbl>
    <w:p w14:paraId="3051BA5B" w14:textId="77777777" w:rsidR="00A72A3E" w:rsidRDefault="00A72A3E" w:rsidP="00827975">
      <w:pPr>
        <w:spacing w:before="120" w:after="120" w:line="360" w:lineRule="auto"/>
        <w:rPr>
          <w:rFonts w:asciiTheme="majorHAnsi" w:hAnsiTheme="majorHAnsi" w:cs="Tahoma"/>
          <w:color w:val="365F91" w:themeColor="accent1" w:themeShade="BF"/>
          <w:sz w:val="22"/>
          <w:lang w:val="el-GR"/>
        </w:rPr>
      </w:pPr>
    </w:p>
    <w:p w14:paraId="2D27B8B7" w14:textId="77777777" w:rsidR="00CC38EF" w:rsidRDefault="00CC38EF" w:rsidP="00827975">
      <w:pPr>
        <w:spacing w:before="120" w:after="120" w:line="360" w:lineRule="auto"/>
        <w:rPr>
          <w:rFonts w:asciiTheme="majorHAnsi" w:hAnsiTheme="majorHAnsi" w:cs="Tahoma"/>
          <w:color w:val="365F91" w:themeColor="accent1" w:themeShade="BF"/>
          <w:sz w:val="22"/>
          <w:lang w:val="el-GR"/>
        </w:rPr>
      </w:pPr>
    </w:p>
    <w:p w14:paraId="67E609A3" w14:textId="77777777" w:rsidR="00CC38EF" w:rsidRDefault="00CC38EF" w:rsidP="00827975">
      <w:pPr>
        <w:spacing w:before="120" w:after="120" w:line="360" w:lineRule="auto"/>
        <w:rPr>
          <w:rFonts w:asciiTheme="majorHAnsi" w:hAnsiTheme="majorHAnsi" w:cs="Tahoma"/>
          <w:color w:val="365F91" w:themeColor="accent1" w:themeShade="BF"/>
          <w:sz w:val="22"/>
          <w:lang w:val="el-GR"/>
        </w:rPr>
      </w:pPr>
    </w:p>
    <w:p w14:paraId="7F0CA527" w14:textId="77777777" w:rsidR="00CC38EF" w:rsidRDefault="00CC38EF" w:rsidP="00827975">
      <w:pPr>
        <w:spacing w:before="120" w:after="120" w:line="360" w:lineRule="auto"/>
        <w:rPr>
          <w:rFonts w:asciiTheme="majorHAnsi" w:hAnsiTheme="majorHAnsi" w:cs="Tahoma"/>
          <w:color w:val="365F91" w:themeColor="accent1" w:themeShade="BF"/>
          <w:sz w:val="22"/>
          <w:lang w:val="el-GR"/>
        </w:rPr>
      </w:pPr>
    </w:p>
    <w:p w14:paraId="4471B256" w14:textId="77777777" w:rsidR="000803F2" w:rsidRDefault="000803F2" w:rsidP="00827975">
      <w:pPr>
        <w:spacing w:before="120" w:after="120" w:line="360" w:lineRule="auto"/>
        <w:rPr>
          <w:rFonts w:asciiTheme="majorHAnsi" w:hAnsiTheme="majorHAnsi" w:cs="Tahoma"/>
          <w:color w:val="365F91" w:themeColor="accent1" w:themeShade="BF"/>
          <w:sz w:val="22"/>
          <w:lang w:val="el-GR"/>
        </w:rPr>
      </w:pPr>
    </w:p>
    <w:p w14:paraId="58D3637C" w14:textId="0740BBAD" w:rsidR="000803F2" w:rsidRPr="000803F2" w:rsidRDefault="000803F2" w:rsidP="00827975">
      <w:pPr>
        <w:spacing w:before="120" w:after="120" w:line="360" w:lineRule="auto"/>
        <w:rPr>
          <w:rFonts w:asciiTheme="majorHAnsi" w:hAnsiTheme="majorHAnsi"/>
          <w:b/>
          <w:sz w:val="22"/>
          <w:lang w:val="el-GR"/>
        </w:rPr>
      </w:pPr>
      <w:r w:rsidRPr="000803F2">
        <w:rPr>
          <w:rFonts w:asciiTheme="majorHAnsi" w:hAnsiTheme="majorHAnsi"/>
          <w:b/>
          <w:sz w:val="22"/>
          <w:lang w:val="el-GR"/>
        </w:rPr>
        <w:t xml:space="preserve">Πίνακας </w:t>
      </w:r>
      <w:r w:rsidR="00CC38EF">
        <w:rPr>
          <w:rFonts w:asciiTheme="majorHAnsi" w:hAnsiTheme="majorHAnsi"/>
          <w:b/>
          <w:sz w:val="22"/>
          <w:lang w:val="el-GR"/>
        </w:rPr>
        <w:t>11</w:t>
      </w:r>
      <w:r w:rsidRPr="000803F2">
        <w:rPr>
          <w:rFonts w:asciiTheme="majorHAnsi" w:hAnsiTheme="majorHAnsi"/>
          <w:b/>
          <w:sz w:val="22"/>
          <w:lang w:val="el-GR"/>
        </w:rPr>
        <w:t>. Καταγγελ</w:t>
      </w:r>
      <w:r>
        <w:rPr>
          <w:rFonts w:asciiTheme="majorHAnsi" w:hAnsiTheme="majorHAnsi"/>
          <w:b/>
          <w:sz w:val="22"/>
          <w:lang w:val="el-GR"/>
        </w:rPr>
        <w:t>ίες, 2015 (α’ εξάμηνο)</w:t>
      </w:r>
    </w:p>
    <w:tbl>
      <w:tblPr>
        <w:tblW w:w="10632" w:type="dxa"/>
        <w:tblInd w:w="-885" w:type="dxa"/>
        <w:tblLayout w:type="fixed"/>
        <w:tblLook w:val="04A0" w:firstRow="1" w:lastRow="0" w:firstColumn="1" w:lastColumn="0" w:noHBand="0" w:noVBand="1"/>
      </w:tblPr>
      <w:tblGrid>
        <w:gridCol w:w="993"/>
        <w:gridCol w:w="1134"/>
        <w:gridCol w:w="993"/>
        <w:gridCol w:w="1134"/>
        <w:gridCol w:w="1134"/>
        <w:gridCol w:w="1276"/>
        <w:gridCol w:w="1134"/>
        <w:gridCol w:w="992"/>
        <w:gridCol w:w="993"/>
        <w:gridCol w:w="849"/>
      </w:tblGrid>
      <w:tr w:rsidR="00554552" w:rsidRPr="00766465" w14:paraId="1F205289" w14:textId="77777777" w:rsidTr="00554552">
        <w:trPr>
          <w:trHeight w:val="802"/>
        </w:trPr>
        <w:tc>
          <w:tcPr>
            <w:tcW w:w="993" w:type="dxa"/>
            <w:tcBorders>
              <w:top w:val="single" w:sz="4" w:space="0" w:color="auto"/>
              <w:left w:val="single" w:sz="4" w:space="0" w:color="auto"/>
              <w:bottom w:val="single" w:sz="4" w:space="0" w:color="auto"/>
              <w:right w:val="single" w:sz="4" w:space="0" w:color="auto"/>
            </w:tcBorders>
            <w:shd w:val="clear" w:color="DCE6F1" w:fill="DCE6F1"/>
          </w:tcPr>
          <w:p w14:paraId="2F20825D" w14:textId="0D3601E7" w:rsidR="00554552" w:rsidRPr="00554552" w:rsidRDefault="00554552" w:rsidP="00554552">
            <w:pPr>
              <w:rPr>
                <w:rFonts w:asciiTheme="majorHAnsi" w:eastAsia="Times New Roman" w:hAnsiTheme="majorHAnsi" w:cs="Times New Roman"/>
                <w:b/>
                <w:bCs/>
                <w:color w:val="000000"/>
                <w:szCs w:val="20"/>
                <w:lang w:val="el-GR" w:eastAsia="el-GR"/>
              </w:rPr>
            </w:pPr>
            <w:r w:rsidRPr="00554552">
              <w:rPr>
                <w:rFonts w:asciiTheme="majorHAnsi" w:eastAsia="Times New Roman" w:hAnsiTheme="majorHAnsi" w:cs="Times New Roman"/>
                <w:b/>
                <w:bCs/>
                <w:color w:val="000000"/>
                <w:szCs w:val="20"/>
                <w:lang w:val="el-GR" w:eastAsia="el-GR"/>
              </w:rPr>
              <w:t>Α’ εξάμηνο</w:t>
            </w:r>
          </w:p>
          <w:p w14:paraId="777281A2" w14:textId="6BF3C5C5" w:rsidR="00554552" w:rsidRPr="00766465" w:rsidRDefault="00554552" w:rsidP="00554552">
            <w:pPr>
              <w:rPr>
                <w:rFonts w:asciiTheme="majorHAnsi" w:eastAsia="Times New Roman" w:hAnsiTheme="majorHAnsi" w:cs="Times New Roman"/>
                <w:b/>
                <w:bCs/>
                <w:color w:val="000000"/>
                <w:sz w:val="16"/>
                <w:szCs w:val="20"/>
                <w:lang w:val="el-GR" w:eastAsia="el-GR"/>
              </w:rPr>
            </w:pPr>
            <w:r w:rsidRPr="00554552">
              <w:rPr>
                <w:rFonts w:asciiTheme="majorHAnsi" w:eastAsia="Times New Roman" w:hAnsiTheme="majorHAnsi" w:cs="Times New Roman"/>
                <w:b/>
                <w:bCs/>
                <w:color w:val="000000"/>
                <w:szCs w:val="20"/>
                <w:lang w:val="el-GR" w:eastAsia="el-GR"/>
              </w:rPr>
              <w:t>2015</w:t>
            </w:r>
          </w:p>
        </w:tc>
        <w:tc>
          <w:tcPr>
            <w:tcW w:w="9639" w:type="dxa"/>
            <w:gridSpan w:val="9"/>
            <w:tcBorders>
              <w:top w:val="single" w:sz="4" w:space="0" w:color="auto"/>
              <w:left w:val="single" w:sz="4" w:space="0" w:color="auto"/>
              <w:bottom w:val="single" w:sz="4" w:space="0" w:color="auto"/>
              <w:right w:val="single" w:sz="4" w:space="0" w:color="auto"/>
            </w:tcBorders>
            <w:shd w:val="clear" w:color="DCE6F1" w:fill="DCE6F1"/>
            <w:vAlign w:val="center"/>
          </w:tcPr>
          <w:p w14:paraId="7F0287CA" w14:textId="01D3A0E0"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p>
        </w:tc>
      </w:tr>
      <w:tr w:rsidR="00554552" w:rsidRPr="00766465" w14:paraId="04C9D224" w14:textId="77777777" w:rsidTr="00554552">
        <w:trPr>
          <w:trHeight w:val="1125"/>
        </w:trPr>
        <w:tc>
          <w:tcPr>
            <w:tcW w:w="993" w:type="dxa"/>
            <w:tcBorders>
              <w:top w:val="single" w:sz="4" w:space="0" w:color="auto"/>
              <w:left w:val="single" w:sz="4" w:space="0" w:color="auto"/>
              <w:bottom w:val="single" w:sz="4" w:space="0" w:color="auto"/>
              <w:right w:val="single" w:sz="4" w:space="0" w:color="auto"/>
            </w:tcBorders>
            <w:shd w:val="clear" w:color="DCE6F1" w:fill="DCE6F1"/>
          </w:tcPr>
          <w:p w14:paraId="109E6664" w14:textId="77777777"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tcPr>
          <w:p w14:paraId="7BE5E172" w14:textId="7EE41FA1"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ΚΑΤΑΓΓΕΛΙΑ</w:t>
            </w:r>
          </w:p>
        </w:tc>
        <w:tc>
          <w:tcPr>
            <w:tcW w:w="993" w:type="dxa"/>
            <w:tcBorders>
              <w:top w:val="single" w:sz="4" w:space="0" w:color="auto"/>
              <w:left w:val="single" w:sz="4" w:space="0" w:color="auto"/>
              <w:bottom w:val="single" w:sz="4" w:space="0" w:color="auto"/>
              <w:right w:val="single" w:sz="4" w:space="0" w:color="auto"/>
            </w:tcBorders>
            <w:shd w:val="clear" w:color="DCE6F1" w:fill="DCE6F1"/>
            <w:vAlign w:val="center"/>
          </w:tcPr>
          <w:p w14:paraId="3D06D8C3" w14:textId="15C4CB34"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ΓΡΑΠΤΕΣ ΕΞΗΓΗΣΕΙΣ</w:t>
            </w: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tcPr>
          <w:p w14:paraId="4AB67E8A" w14:textId="39B44802"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ΑΠΑΝΤΗΣΗ ΔΙΕΡΕΥΝΗΣΗΣ</w:t>
            </w: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tcPr>
          <w:p w14:paraId="56215BD5" w14:textId="543B3E75"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ΕΡΩΤΗΣΗ ΕΝΗΜΕΡΩΣΗ</w:t>
            </w:r>
          </w:p>
        </w:tc>
        <w:tc>
          <w:tcPr>
            <w:tcW w:w="1276" w:type="dxa"/>
            <w:tcBorders>
              <w:top w:val="single" w:sz="4" w:space="0" w:color="auto"/>
              <w:left w:val="single" w:sz="4" w:space="0" w:color="auto"/>
              <w:bottom w:val="single" w:sz="4" w:space="0" w:color="auto"/>
              <w:right w:val="single" w:sz="4" w:space="0" w:color="auto"/>
            </w:tcBorders>
            <w:shd w:val="clear" w:color="DCE6F1" w:fill="DCE6F1"/>
            <w:vAlign w:val="center"/>
          </w:tcPr>
          <w:p w14:paraId="58CCE334" w14:textId="7FD7DE26"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 xml:space="preserve">ΠΡΟΩΘΗΣΗ - </w:t>
            </w:r>
            <w:r w:rsidRPr="00766465">
              <w:rPr>
                <w:rFonts w:asciiTheme="majorHAnsi" w:eastAsia="Times New Roman" w:hAnsiTheme="majorHAnsi" w:cs="Times New Roman"/>
                <w:b/>
                <w:bCs/>
                <w:color w:val="000000"/>
                <w:sz w:val="16"/>
                <w:szCs w:val="20"/>
                <w:lang w:val="el-GR" w:eastAsia="el-GR"/>
              </w:rPr>
              <w:br/>
              <w:t>ΜΗ ΑΡΜΟΔΙΟΤΗΤΑ</w:t>
            </w:r>
          </w:p>
        </w:tc>
        <w:tc>
          <w:tcPr>
            <w:tcW w:w="1134" w:type="dxa"/>
            <w:tcBorders>
              <w:top w:val="single" w:sz="4" w:space="0" w:color="auto"/>
              <w:left w:val="single" w:sz="4" w:space="0" w:color="auto"/>
              <w:bottom w:val="single" w:sz="4" w:space="0" w:color="auto"/>
              <w:right w:val="single" w:sz="4" w:space="0" w:color="auto"/>
            </w:tcBorders>
            <w:shd w:val="clear" w:color="DCE6F1" w:fill="DCE6F1"/>
            <w:vAlign w:val="center"/>
          </w:tcPr>
          <w:p w14:paraId="47352026" w14:textId="17725B3B"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ΣΧΕΤΙΚΟ ΚΑΤΑΓΓΕΛΙΑΣ</w:t>
            </w:r>
          </w:p>
        </w:tc>
        <w:tc>
          <w:tcPr>
            <w:tcW w:w="992" w:type="dxa"/>
            <w:tcBorders>
              <w:top w:val="single" w:sz="4" w:space="0" w:color="auto"/>
              <w:left w:val="single" w:sz="4" w:space="0" w:color="auto"/>
              <w:bottom w:val="single" w:sz="4" w:space="0" w:color="auto"/>
              <w:right w:val="single" w:sz="4" w:space="0" w:color="auto"/>
            </w:tcBorders>
            <w:shd w:val="clear" w:color="DCE6F1" w:fill="DCE6F1"/>
            <w:vAlign w:val="center"/>
          </w:tcPr>
          <w:p w14:paraId="5C1F3EF9" w14:textId="1922B0FD"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ΑΠΑΝΤΗΣΗ</w:t>
            </w:r>
          </w:p>
        </w:tc>
        <w:tc>
          <w:tcPr>
            <w:tcW w:w="993" w:type="dxa"/>
            <w:tcBorders>
              <w:top w:val="single" w:sz="4" w:space="0" w:color="auto"/>
              <w:left w:val="single" w:sz="4" w:space="0" w:color="auto"/>
              <w:bottom w:val="single" w:sz="4" w:space="0" w:color="auto"/>
              <w:right w:val="single" w:sz="4" w:space="0" w:color="auto"/>
            </w:tcBorders>
            <w:shd w:val="clear" w:color="DCE6F1" w:fill="DCE6F1"/>
            <w:vAlign w:val="center"/>
          </w:tcPr>
          <w:p w14:paraId="35BFC940" w14:textId="62ECA97B"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ΑΠΟΣΥΡΣΗ</w:t>
            </w:r>
          </w:p>
        </w:tc>
        <w:tc>
          <w:tcPr>
            <w:tcW w:w="849" w:type="dxa"/>
            <w:tcBorders>
              <w:top w:val="single" w:sz="4" w:space="0" w:color="auto"/>
              <w:left w:val="single" w:sz="4" w:space="0" w:color="auto"/>
              <w:bottom w:val="single" w:sz="4" w:space="0" w:color="auto"/>
              <w:right w:val="single" w:sz="4" w:space="0" w:color="auto"/>
            </w:tcBorders>
            <w:shd w:val="clear" w:color="DCE6F1" w:fill="DCE6F1"/>
            <w:vAlign w:val="center"/>
          </w:tcPr>
          <w:p w14:paraId="19985A38" w14:textId="7C151935" w:rsidR="00554552" w:rsidRPr="00766465" w:rsidRDefault="00554552" w:rsidP="00766465">
            <w:pPr>
              <w:jc w:val="center"/>
              <w:rPr>
                <w:rFonts w:asciiTheme="majorHAnsi" w:eastAsia="Times New Roman" w:hAnsiTheme="majorHAnsi" w:cs="Times New Roman"/>
                <w:b/>
                <w:bCs/>
                <w:color w:val="000000"/>
                <w:sz w:val="16"/>
                <w:szCs w:val="20"/>
                <w:lang w:val="el-GR" w:eastAsia="el-GR"/>
              </w:rPr>
            </w:pPr>
            <w:r>
              <w:rPr>
                <w:rFonts w:asciiTheme="majorHAnsi" w:eastAsia="Times New Roman" w:hAnsiTheme="majorHAnsi" w:cs="Times New Roman"/>
                <w:b/>
                <w:bCs/>
                <w:color w:val="000000"/>
                <w:sz w:val="16"/>
                <w:szCs w:val="20"/>
                <w:lang w:val="el-GR" w:eastAsia="el-GR"/>
              </w:rPr>
              <w:t>ΣΥΝΟΛΟ</w:t>
            </w:r>
          </w:p>
        </w:tc>
      </w:tr>
      <w:tr w:rsidR="00554552" w:rsidRPr="00766465" w14:paraId="7F8590FE"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shd w:val="clear" w:color="D9D9D9" w:fill="D9D9D9"/>
          </w:tcPr>
          <w:p w14:paraId="29C343C8"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60B18E1" w14:textId="27CACA65"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19</w:t>
            </w: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C631AC"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33</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6C8DB1" w14:textId="6687191C"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84A2F5"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66C5ACF" w14:textId="67DB46B3"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E48DD1"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2</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2163DE" w14:textId="623420B6"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801066D" w14:textId="04D7BE3D"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A606814"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57</w:t>
            </w:r>
          </w:p>
        </w:tc>
      </w:tr>
      <w:tr w:rsidR="00554552" w:rsidRPr="00766465" w14:paraId="16866BBF"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tcPr>
          <w:p w14:paraId="444A82B0"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85649" w14:textId="430C273F"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30BA8"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2FD68" w14:textId="63A9CEA6"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03C4D"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60E53" w14:textId="0469A1C1"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0410D" w14:textId="636F2EB8"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C3A5C" w14:textId="3B603F3B"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79C75" w14:textId="766693F8"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A27D2"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65</w:t>
            </w:r>
          </w:p>
        </w:tc>
      </w:tr>
      <w:tr w:rsidR="00554552" w:rsidRPr="00766465" w14:paraId="2BE3F5B0"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shd w:val="clear" w:color="D9D9D9" w:fill="D9D9D9"/>
          </w:tcPr>
          <w:p w14:paraId="6A90DCFF"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DE04AAA" w14:textId="79847BDE"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52</w:t>
            </w: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9D3226"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9</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99C635" w14:textId="5847939E"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559008"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836643" w14:textId="4CF6FE6C"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7F6ECC8"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6E6A9B3" w14:textId="3A8B4FE6"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A08E0DD" w14:textId="0D84FC28"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A757E7"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65</w:t>
            </w:r>
          </w:p>
        </w:tc>
      </w:tr>
      <w:tr w:rsidR="00554552" w:rsidRPr="00766465" w14:paraId="0AC07EEF"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tcPr>
          <w:p w14:paraId="55738C20"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52053" w14:textId="527B0B76"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6039E"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59AB7"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D41EA"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662FB" w14:textId="41CA369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02123" w14:textId="059D1135"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3E90B" w14:textId="75A9C344"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04715" w14:textId="0CB4FD92"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39C50"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108</w:t>
            </w:r>
          </w:p>
        </w:tc>
      </w:tr>
      <w:tr w:rsidR="00554552" w:rsidRPr="00766465" w14:paraId="55CE3070"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shd w:val="clear" w:color="D9D9D9" w:fill="D9D9D9"/>
          </w:tcPr>
          <w:p w14:paraId="6C002289"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5D25072" w14:textId="4CD394CC"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51</w:t>
            </w: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64F30A"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12</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BCCA75D" w14:textId="167072E1"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3D87BA"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6</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8CEEF8"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DB8786F"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2</w:t>
            </w: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8F11A15" w14:textId="72F3D4FD"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8276B8" w14:textId="0F3ED10B"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C111137"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74</w:t>
            </w:r>
          </w:p>
        </w:tc>
      </w:tr>
      <w:tr w:rsidR="00554552" w:rsidRPr="00766465" w14:paraId="1F450365"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tcPr>
          <w:p w14:paraId="2F718F50"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52123" w14:textId="5C39C619"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50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51D7F"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96C8D" w14:textId="77E65275"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627C7"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0CCDD"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36BD"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0E59F"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5F36E" w14:textId="59F64CEF"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A7AA"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81</w:t>
            </w:r>
          </w:p>
        </w:tc>
      </w:tr>
      <w:tr w:rsidR="00554552" w:rsidRPr="00766465" w14:paraId="07958344"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shd w:val="clear" w:color="D9D9D9" w:fill="D9D9D9"/>
          </w:tcPr>
          <w:p w14:paraId="6B760BEC"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59FFCFA" w14:textId="3293CEEC"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27</w:t>
            </w: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B8E101" w14:textId="58F26588"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09CC991" w14:textId="662E0425"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ED903A"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5</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9C2BEA8"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193F13" w14:textId="0E61F54F"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695821C"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13</w:t>
            </w:r>
          </w:p>
        </w:tc>
        <w:tc>
          <w:tcPr>
            <w:tcW w:w="9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AD4D93"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1</w:t>
            </w:r>
          </w:p>
        </w:tc>
        <w:tc>
          <w:tcPr>
            <w:tcW w:w="849"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38605B3"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r w:rsidRPr="00554552">
              <w:rPr>
                <w:rFonts w:asciiTheme="majorHAnsi" w:eastAsia="Times New Roman" w:hAnsiTheme="majorHAnsi" w:cs="Times New Roman"/>
                <w:bCs/>
                <w:color w:val="000000"/>
                <w:sz w:val="16"/>
                <w:szCs w:val="20"/>
                <w:lang w:val="el-GR" w:eastAsia="el-GR"/>
              </w:rPr>
              <w:t>47</w:t>
            </w:r>
          </w:p>
        </w:tc>
      </w:tr>
      <w:tr w:rsidR="00554552" w:rsidRPr="00766465" w14:paraId="56FAFD89"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tcPr>
          <w:p w14:paraId="632AA2B2" w14:textId="7777777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97603" w14:textId="2AB454EC"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10E4E" w14:textId="7DA90182"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EAF89" w14:textId="57ABE5D7"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0F582" w14:textId="789D4EA1"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754CA" w14:textId="45DE7B69"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CBE0C" w14:textId="03314DFB"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3A528" w14:textId="158939B4"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3BE5B" w14:textId="4C77659D"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A8631" w14:textId="1B8223DC" w:rsidR="00554552" w:rsidRPr="00554552" w:rsidRDefault="00554552" w:rsidP="00554552">
            <w:pPr>
              <w:ind w:firstLineChars="100" w:firstLine="160"/>
              <w:jc w:val="center"/>
              <w:rPr>
                <w:rFonts w:asciiTheme="majorHAnsi" w:eastAsia="Times New Roman" w:hAnsiTheme="majorHAnsi" w:cs="Times New Roman"/>
                <w:bCs/>
                <w:color w:val="000000"/>
                <w:sz w:val="16"/>
                <w:szCs w:val="20"/>
                <w:lang w:val="el-GR" w:eastAsia="el-GR"/>
              </w:rPr>
            </w:pPr>
          </w:p>
        </w:tc>
      </w:tr>
      <w:tr w:rsidR="00554552" w:rsidRPr="00766465" w14:paraId="4A3F2A4B" w14:textId="77777777" w:rsidTr="00554552">
        <w:trPr>
          <w:trHeight w:val="375"/>
        </w:trPr>
        <w:tc>
          <w:tcPr>
            <w:tcW w:w="993" w:type="dxa"/>
            <w:tcBorders>
              <w:top w:val="single" w:sz="4" w:space="0" w:color="auto"/>
              <w:left w:val="single" w:sz="4" w:space="0" w:color="auto"/>
              <w:bottom w:val="single" w:sz="4" w:space="0" w:color="auto"/>
              <w:right w:val="single" w:sz="4" w:space="0" w:color="auto"/>
            </w:tcBorders>
            <w:shd w:val="clear" w:color="DCE6F1" w:fill="DCE6F1"/>
          </w:tcPr>
          <w:p w14:paraId="0D390698"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p>
        </w:tc>
        <w:tc>
          <w:tcPr>
            <w:tcW w:w="113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5DD54A5" w14:textId="75B07302"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302</w:t>
            </w:r>
          </w:p>
        </w:tc>
        <w:tc>
          <w:tcPr>
            <w:tcW w:w="993"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47054304"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109</w:t>
            </w:r>
          </w:p>
        </w:tc>
        <w:tc>
          <w:tcPr>
            <w:tcW w:w="113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FE8BAB5"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3</w:t>
            </w:r>
          </w:p>
        </w:tc>
        <w:tc>
          <w:tcPr>
            <w:tcW w:w="113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0E4F8BD2"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33</w:t>
            </w:r>
          </w:p>
        </w:tc>
        <w:tc>
          <w:tcPr>
            <w:tcW w:w="1276"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1CB3B781"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7</w:t>
            </w:r>
          </w:p>
        </w:tc>
        <w:tc>
          <w:tcPr>
            <w:tcW w:w="1134"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35939CE4"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6</w:t>
            </w:r>
          </w:p>
        </w:tc>
        <w:tc>
          <w:tcPr>
            <w:tcW w:w="992"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7AF6A62D"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36</w:t>
            </w:r>
          </w:p>
        </w:tc>
        <w:tc>
          <w:tcPr>
            <w:tcW w:w="993"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6351F3E6"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1</w:t>
            </w:r>
          </w:p>
        </w:tc>
        <w:tc>
          <w:tcPr>
            <w:tcW w:w="849"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5A069997" w14:textId="77777777" w:rsidR="00554552" w:rsidRPr="00766465" w:rsidRDefault="00554552" w:rsidP="00C14703">
            <w:pPr>
              <w:ind w:firstLineChars="100" w:firstLine="161"/>
              <w:jc w:val="center"/>
              <w:rPr>
                <w:rFonts w:asciiTheme="majorHAnsi" w:eastAsia="Times New Roman" w:hAnsiTheme="majorHAnsi" w:cs="Times New Roman"/>
                <w:b/>
                <w:bCs/>
                <w:color w:val="000000"/>
                <w:sz w:val="16"/>
                <w:szCs w:val="20"/>
                <w:lang w:val="el-GR" w:eastAsia="el-GR"/>
              </w:rPr>
            </w:pPr>
            <w:r w:rsidRPr="00766465">
              <w:rPr>
                <w:rFonts w:asciiTheme="majorHAnsi" w:eastAsia="Times New Roman" w:hAnsiTheme="majorHAnsi" w:cs="Times New Roman"/>
                <w:b/>
                <w:bCs/>
                <w:color w:val="000000"/>
                <w:sz w:val="16"/>
                <w:szCs w:val="20"/>
                <w:lang w:val="el-GR" w:eastAsia="el-GR"/>
              </w:rPr>
              <w:t>497</w:t>
            </w:r>
          </w:p>
        </w:tc>
      </w:tr>
    </w:tbl>
    <w:p w14:paraId="10799EA4" w14:textId="1079F6A0" w:rsidR="00146F21" w:rsidRPr="00827975" w:rsidRDefault="00146F21" w:rsidP="00827975">
      <w:pPr>
        <w:spacing w:before="120" w:after="120" w:line="360" w:lineRule="auto"/>
        <w:rPr>
          <w:rFonts w:asciiTheme="majorHAnsi" w:hAnsiTheme="majorHAnsi" w:cs="Tahoma"/>
          <w:color w:val="365F91" w:themeColor="accent1" w:themeShade="BF"/>
          <w:sz w:val="22"/>
          <w:lang w:val="el-GR"/>
        </w:rPr>
      </w:pPr>
      <w:r w:rsidRPr="00827975">
        <w:rPr>
          <w:rFonts w:asciiTheme="majorHAnsi" w:hAnsiTheme="majorHAnsi" w:cs="Tahoma"/>
          <w:color w:val="365F91" w:themeColor="accent1" w:themeShade="BF"/>
          <w:sz w:val="22"/>
          <w:lang w:val="el-GR"/>
        </w:rPr>
        <w:br w:type="page"/>
      </w:r>
    </w:p>
    <w:p w14:paraId="11C21D52" w14:textId="7740EAB8" w:rsidR="00257B88" w:rsidRPr="00827975" w:rsidRDefault="00257B88" w:rsidP="00827975">
      <w:pPr>
        <w:pStyle w:val="ae"/>
        <w:shd w:val="clear" w:color="auto" w:fill="DBE5F1" w:themeFill="accent1" w:themeFillTint="33"/>
        <w:spacing w:before="120" w:after="120" w:line="360" w:lineRule="auto"/>
        <w:rPr>
          <w:rFonts w:asciiTheme="majorHAnsi" w:hAnsiTheme="majorHAnsi"/>
          <w:b/>
          <w:color w:val="E36C0A" w:themeColor="accent6" w:themeShade="BF"/>
          <w:sz w:val="22"/>
          <w:lang w:val="el-GR"/>
        </w:rPr>
      </w:pPr>
      <w:r w:rsidRPr="00827975">
        <w:rPr>
          <w:rFonts w:asciiTheme="majorHAnsi" w:hAnsiTheme="majorHAnsi"/>
          <w:b/>
          <w:color w:val="E36C0A" w:themeColor="accent6" w:themeShade="BF"/>
          <w:sz w:val="22"/>
          <w:lang w:val="el-GR"/>
        </w:rPr>
        <w:lastRenderedPageBreak/>
        <w:t>Επόμενα Βήματα</w:t>
      </w:r>
    </w:p>
    <w:p w14:paraId="5EEB8AAF" w14:textId="77777777" w:rsidR="00257B88" w:rsidRPr="00827975" w:rsidRDefault="00257B88" w:rsidP="00827975">
      <w:pPr>
        <w:spacing w:before="120" w:after="120" w:line="360" w:lineRule="auto"/>
        <w:jc w:val="both"/>
        <w:rPr>
          <w:rFonts w:asciiTheme="majorHAnsi" w:hAnsiTheme="majorHAnsi" w:cs="Tahoma"/>
          <w:sz w:val="22"/>
          <w:lang w:val="el-GR"/>
        </w:rPr>
      </w:pPr>
    </w:p>
    <w:p w14:paraId="4E4E76E4" w14:textId="77777777" w:rsidR="00257B88" w:rsidRPr="00827975" w:rsidRDefault="00257B88"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 xml:space="preserve">Κλινικός έλεγχος </w:t>
      </w:r>
      <w:r w:rsidRPr="00827975">
        <w:rPr>
          <w:rFonts w:asciiTheme="majorHAnsi" w:hAnsiTheme="majorHAnsi" w:cs="Tahoma"/>
          <w:color w:val="365F91" w:themeColor="accent1" w:themeShade="BF"/>
          <w:sz w:val="22"/>
          <w:u w:val="single"/>
        </w:rPr>
        <w:t>real</w:t>
      </w:r>
      <w:r w:rsidRPr="00827975">
        <w:rPr>
          <w:rFonts w:asciiTheme="majorHAnsi" w:hAnsiTheme="majorHAnsi" w:cs="Tahoma"/>
          <w:color w:val="365F91" w:themeColor="accent1" w:themeShade="BF"/>
          <w:sz w:val="22"/>
          <w:u w:val="single"/>
          <w:lang w:val="el-GR"/>
        </w:rPr>
        <w:t xml:space="preserve"> </w:t>
      </w:r>
      <w:r w:rsidRPr="00827975">
        <w:rPr>
          <w:rFonts w:asciiTheme="majorHAnsi" w:hAnsiTheme="majorHAnsi" w:cs="Tahoma"/>
          <w:color w:val="365F91" w:themeColor="accent1" w:themeShade="BF"/>
          <w:sz w:val="22"/>
          <w:u w:val="single"/>
        </w:rPr>
        <w:t>time</w:t>
      </w:r>
    </w:p>
    <w:p w14:paraId="686C0C91" w14:textId="6CF73F45" w:rsidR="00B20A0B" w:rsidRDefault="00010C46" w:rsidP="00010C46">
      <w:pPr>
        <w:spacing w:before="120" w:after="120" w:line="360" w:lineRule="auto"/>
        <w:jc w:val="both"/>
        <w:rPr>
          <w:rFonts w:asciiTheme="majorHAnsi" w:hAnsiTheme="majorHAnsi" w:cs="Tahoma"/>
          <w:lang w:val="el-GR"/>
        </w:rPr>
      </w:pPr>
      <w:r>
        <w:rPr>
          <w:rFonts w:asciiTheme="majorHAnsi" w:hAnsiTheme="majorHAnsi" w:cs="Tahoma"/>
          <w:lang w:val="el-GR"/>
        </w:rPr>
        <w:t xml:space="preserve">Για τη λειτουργία του συστήματος του κλινικού ελέγχου σε πραγματικό χρόνο, έχουν αναπτυχθεί 150.000 κανόνες. Αναμένεται από την ΗΔΙΚΑ, η παροχή της δυνατότητας παρακολούθησης της καταγραφής των </w:t>
      </w:r>
      <w:r>
        <w:rPr>
          <w:rFonts w:asciiTheme="majorHAnsi" w:hAnsiTheme="majorHAnsi" w:cs="Tahoma"/>
        </w:rPr>
        <w:t>ICD</w:t>
      </w:r>
      <w:r w:rsidRPr="00010C46">
        <w:rPr>
          <w:rFonts w:asciiTheme="majorHAnsi" w:hAnsiTheme="majorHAnsi" w:cs="Tahoma"/>
          <w:lang w:val="el-GR"/>
        </w:rPr>
        <w:t xml:space="preserve">-10 </w:t>
      </w:r>
      <w:r>
        <w:rPr>
          <w:rFonts w:asciiTheme="majorHAnsi" w:hAnsiTheme="majorHAnsi" w:cs="Tahoma"/>
          <w:lang w:val="el-GR"/>
        </w:rPr>
        <w:t xml:space="preserve">σε πραγματικό χρόνο. Ο συνδυασμός των παραπάνω πηγών πληροφορίας, θα επιτρέπει </w:t>
      </w:r>
      <w:r w:rsidR="006F6473">
        <w:rPr>
          <w:rFonts w:asciiTheme="majorHAnsi" w:hAnsiTheme="majorHAnsi" w:cs="Tahoma"/>
          <w:lang w:val="el-GR"/>
        </w:rPr>
        <w:t xml:space="preserve">την αποδοχή, την απόρριψη ή την παραπομπή </w:t>
      </w:r>
      <w:r w:rsidR="002A747E">
        <w:rPr>
          <w:rFonts w:asciiTheme="majorHAnsi" w:hAnsiTheme="majorHAnsi" w:cs="Tahoma"/>
          <w:lang w:val="el-GR"/>
        </w:rPr>
        <w:t>του περιστατικού σε ελεγκτές ιατρούς για περαιτέρω έλεγχο</w:t>
      </w:r>
      <w:r w:rsidR="00BD5DDD">
        <w:rPr>
          <w:rFonts w:asciiTheme="majorHAnsi" w:hAnsiTheme="majorHAnsi" w:cs="Tahoma"/>
          <w:lang w:val="el-GR"/>
        </w:rPr>
        <w:t xml:space="preserve">. </w:t>
      </w:r>
      <w:r w:rsidR="002228F5">
        <w:rPr>
          <w:rFonts w:asciiTheme="majorHAnsi" w:hAnsiTheme="majorHAnsi" w:cs="Tahoma"/>
          <w:lang w:val="el-GR"/>
        </w:rPr>
        <w:t>Απαραίτητη προϋπόθεση η ενίσχυση του Οργανισμού με το αναγκαίο ιατρικό προσωπικό με σχετική εμπειρία στον έλεγχο.</w:t>
      </w:r>
    </w:p>
    <w:p w14:paraId="079E24F6" w14:textId="77777777" w:rsidR="00010C46" w:rsidRPr="00010C46" w:rsidRDefault="00010C46" w:rsidP="00010C46">
      <w:pPr>
        <w:spacing w:before="120" w:after="120" w:line="360" w:lineRule="auto"/>
        <w:jc w:val="both"/>
        <w:rPr>
          <w:rFonts w:asciiTheme="majorHAnsi" w:hAnsiTheme="majorHAnsi" w:cs="Tahoma"/>
          <w:lang w:val="el-GR"/>
        </w:rPr>
      </w:pPr>
    </w:p>
    <w:p w14:paraId="3333EAFC" w14:textId="3BEF9EE4" w:rsidR="00257B88" w:rsidRPr="00827975" w:rsidRDefault="00257B88"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Κάρτα Ασφάλισης</w:t>
      </w:r>
      <w:r w:rsidR="00766465">
        <w:rPr>
          <w:rFonts w:asciiTheme="majorHAnsi" w:hAnsiTheme="majorHAnsi" w:cs="Tahoma"/>
          <w:color w:val="365F91" w:themeColor="accent1" w:themeShade="BF"/>
          <w:sz w:val="22"/>
          <w:u w:val="single"/>
          <w:lang w:val="el-GR"/>
        </w:rPr>
        <w:t xml:space="preserve"> Υγείας </w:t>
      </w:r>
    </w:p>
    <w:p w14:paraId="174C1F99" w14:textId="545C93B8" w:rsidR="0002263C" w:rsidRPr="00827975" w:rsidRDefault="0002263C" w:rsidP="00827975">
      <w:pPr>
        <w:spacing w:before="120" w:after="120" w:line="360" w:lineRule="auto"/>
        <w:jc w:val="both"/>
        <w:rPr>
          <w:rFonts w:asciiTheme="majorHAnsi" w:hAnsiTheme="majorHAnsi"/>
          <w:sz w:val="22"/>
          <w:lang w:val="el-GR"/>
        </w:rPr>
      </w:pPr>
      <w:r w:rsidRPr="00827975">
        <w:rPr>
          <w:rFonts w:asciiTheme="majorHAnsi" w:hAnsiTheme="majorHAnsi" w:cs="Tahoma"/>
          <w:sz w:val="22"/>
          <w:lang w:val="el-GR"/>
        </w:rPr>
        <w:t>Στη βάση λειτουργίας τ</w:t>
      </w:r>
      <w:r w:rsidR="00766465">
        <w:rPr>
          <w:rFonts w:asciiTheme="majorHAnsi" w:hAnsiTheme="majorHAnsi" w:cs="Tahoma"/>
          <w:sz w:val="22"/>
          <w:lang w:val="el-GR"/>
        </w:rPr>
        <w:t>ου Φακέλου Ασφάλισης Υγείας, η Κάρτα Ασφάλισης Υ</w:t>
      </w:r>
      <w:r w:rsidRPr="00827975">
        <w:rPr>
          <w:rFonts w:asciiTheme="majorHAnsi" w:hAnsiTheme="majorHAnsi" w:cs="Tahoma"/>
          <w:sz w:val="22"/>
          <w:lang w:val="el-GR"/>
        </w:rPr>
        <w:t xml:space="preserve">γείας θα αποτελέσει τη συνέχεια στην </w:t>
      </w:r>
      <w:r w:rsidRPr="00827975">
        <w:rPr>
          <w:rFonts w:asciiTheme="majorHAnsi" w:hAnsiTheme="majorHAnsi"/>
          <w:sz w:val="22"/>
          <w:lang w:val="el-GR"/>
        </w:rPr>
        <w:t>ηλεκτρονική αποτύπωση του βιβλιαρίου υγείας.</w:t>
      </w:r>
      <w:r w:rsidR="001E208D" w:rsidRPr="00827975">
        <w:rPr>
          <w:rFonts w:asciiTheme="majorHAnsi" w:hAnsiTheme="majorHAnsi"/>
          <w:sz w:val="22"/>
          <w:lang w:val="el-GR"/>
        </w:rPr>
        <w:t xml:space="preserve"> Η εισαγωγή και λειτουργία της κάρτας ασφάλισης υγείας θα πρέπει να αποτελέσει κορυφαία προτεραιότητα στη στρατηγική μετεξέλιξη του ΕΟΠΥΥ, καθώς θα συνεισφέρει σημαντικά στη μείωση της παραβατικότητας, ενώ θα προσφέρει και απεικόνιση των ποσοτικών μεγεθών τα οποία εξασφαλίζουν την άσκηση πολιτικής υγείας </w:t>
      </w:r>
      <w:r w:rsidR="00B45703">
        <w:rPr>
          <w:rFonts w:asciiTheme="majorHAnsi" w:hAnsiTheme="majorHAnsi"/>
          <w:sz w:val="22"/>
          <w:lang w:val="el-GR"/>
        </w:rPr>
        <w:t xml:space="preserve">στη </w:t>
      </w:r>
      <w:r w:rsidR="001E208D" w:rsidRPr="00827975">
        <w:rPr>
          <w:rFonts w:asciiTheme="majorHAnsi" w:hAnsiTheme="majorHAnsi"/>
          <w:sz w:val="22"/>
          <w:lang w:val="el-GR"/>
        </w:rPr>
        <w:t>βάση τεκμηρίων.</w:t>
      </w:r>
    </w:p>
    <w:p w14:paraId="21AE5371" w14:textId="77777777" w:rsidR="0002263C" w:rsidRPr="00827975" w:rsidRDefault="0002263C" w:rsidP="00827975">
      <w:pPr>
        <w:spacing w:before="120" w:after="120" w:line="360" w:lineRule="auto"/>
        <w:jc w:val="both"/>
        <w:rPr>
          <w:rFonts w:asciiTheme="majorHAnsi" w:hAnsiTheme="majorHAnsi" w:cs="Tahoma"/>
          <w:sz w:val="22"/>
          <w:lang w:val="el-GR"/>
        </w:rPr>
      </w:pPr>
    </w:p>
    <w:p w14:paraId="5F4643F8" w14:textId="5B99430E" w:rsidR="0002263C" w:rsidRPr="00827975" w:rsidRDefault="0002263C"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Ασφαλιστική κάλυψη οδοντιατρικής περίθαλψης</w:t>
      </w:r>
    </w:p>
    <w:p w14:paraId="3E6B63EE" w14:textId="1706A2D4" w:rsidR="00257B88" w:rsidRPr="00827975" w:rsidRDefault="001E208D" w:rsidP="00827975">
      <w:pPr>
        <w:spacing w:before="120" w:after="120" w:line="360" w:lineRule="auto"/>
        <w:jc w:val="both"/>
        <w:rPr>
          <w:rFonts w:asciiTheme="majorHAnsi" w:hAnsiTheme="majorHAnsi" w:cs="Tahoma"/>
          <w:sz w:val="22"/>
          <w:lang w:val="el-GR"/>
        </w:rPr>
      </w:pPr>
      <w:r w:rsidRPr="00827975">
        <w:rPr>
          <w:rFonts w:asciiTheme="majorHAnsi" w:hAnsiTheme="majorHAnsi" w:cs="Tahoma"/>
          <w:sz w:val="22"/>
          <w:lang w:val="el-GR"/>
        </w:rPr>
        <w:t>Έχει πραγματοποιηθεί ε</w:t>
      </w:r>
      <w:r w:rsidR="00257B88" w:rsidRPr="00827975">
        <w:rPr>
          <w:rFonts w:asciiTheme="majorHAnsi" w:hAnsiTheme="majorHAnsi" w:cs="Tahoma"/>
          <w:sz w:val="22"/>
          <w:lang w:val="el-GR"/>
        </w:rPr>
        <w:t xml:space="preserve">κτενής διάλογος με </w:t>
      </w:r>
      <w:r w:rsidRPr="00827975">
        <w:rPr>
          <w:rFonts w:asciiTheme="majorHAnsi" w:hAnsiTheme="majorHAnsi" w:cs="Tahoma"/>
          <w:sz w:val="22"/>
          <w:lang w:val="el-GR"/>
        </w:rPr>
        <w:t xml:space="preserve">τους </w:t>
      </w:r>
      <w:r w:rsidR="00257B88" w:rsidRPr="00827975">
        <w:rPr>
          <w:rFonts w:asciiTheme="majorHAnsi" w:hAnsiTheme="majorHAnsi" w:cs="Tahoma"/>
          <w:sz w:val="22"/>
          <w:lang w:val="el-GR"/>
        </w:rPr>
        <w:t xml:space="preserve">αντιπροσώπους της Ελληνικής Οδοντιατρικής Ομοσπονδίας, προκειμένου να εισαχθεί </w:t>
      </w:r>
      <w:r w:rsidRPr="00827975">
        <w:rPr>
          <w:rFonts w:asciiTheme="majorHAnsi" w:hAnsiTheme="majorHAnsi" w:cs="Tahoma"/>
          <w:sz w:val="22"/>
          <w:lang w:val="el-GR"/>
        </w:rPr>
        <w:t xml:space="preserve">για πρώτη φορά </w:t>
      </w:r>
      <w:r w:rsidR="00257B88" w:rsidRPr="00827975">
        <w:rPr>
          <w:rFonts w:asciiTheme="majorHAnsi" w:hAnsiTheme="majorHAnsi" w:cs="Tahoma"/>
          <w:sz w:val="22"/>
          <w:lang w:val="el-GR"/>
        </w:rPr>
        <w:t>στην ασφαλισμένη περίθαλψη η</w:t>
      </w:r>
      <w:r w:rsidR="0002263C" w:rsidRPr="00827975">
        <w:rPr>
          <w:rFonts w:asciiTheme="majorHAnsi" w:hAnsiTheme="majorHAnsi" w:cs="Tahoma"/>
          <w:sz w:val="22"/>
          <w:lang w:val="el-GR"/>
        </w:rPr>
        <w:t xml:space="preserve"> παροχή</w:t>
      </w:r>
      <w:r w:rsidR="00257B88" w:rsidRPr="00827975">
        <w:rPr>
          <w:rFonts w:asciiTheme="majorHAnsi" w:hAnsiTheme="majorHAnsi" w:cs="Tahoma"/>
          <w:sz w:val="22"/>
          <w:lang w:val="el-GR"/>
        </w:rPr>
        <w:t xml:space="preserve"> οδοντιατρικών υπηρεσιών.</w:t>
      </w:r>
      <w:r w:rsidRPr="00827975">
        <w:rPr>
          <w:rFonts w:asciiTheme="majorHAnsi" w:hAnsiTheme="majorHAnsi" w:cs="Tahoma"/>
          <w:sz w:val="22"/>
          <w:lang w:val="el-GR"/>
        </w:rPr>
        <w:t xml:space="preserve"> Πρόκειται για σημαντική κατηγορία παροχής φροντίδας η οποία, δεδομένης και της μείωσης της αγοραστικής δύναμης των νοικοκυριών, θα πρέπει να ενταχθεί σε σαφές πλαίσιο αποζημίωσης. Έχει εκπονηθεί σχετικό σχέδιο από την αρμόδια Διεύθυνση του Οργανισμού</w:t>
      </w:r>
      <w:r w:rsidR="001E1EB6">
        <w:rPr>
          <w:rFonts w:asciiTheme="majorHAnsi" w:hAnsiTheme="majorHAnsi" w:cs="Tahoma"/>
          <w:sz w:val="22"/>
          <w:lang w:val="el-GR"/>
        </w:rPr>
        <w:t xml:space="preserve">. Έχει ψηφιστεί από το ΔΣ του Οργανισμού κατάλογος αποζημίωσης οδοντιατρικών πράξεων, καθώς επίσης και τα </w:t>
      </w:r>
      <w:r w:rsidR="00605595">
        <w:rPr>
          <w:rFonts w:asciiTheme="majorHAnsi" w:hAnsiTheme="majorHAnsi" w:cs="Tahoma"/>
          <w:sz w:val="22"/>
          <w:lang w:val="el-GR"/>
        </w:rPr>
        <w:t xml:space="preserve">αντίστοιχα </w:t>
      </w:r>
      <w:r w:rsidR="001E1EB6">
        <w:rPr>
          <w:rFonts w:asciiTheme="majorHAnsi" w:hAnsiTheme="majorHAnsi" w:cs="Tahoma"/>
          <w:sz w:val="22"/>
          <w:lang w:val="el-GR"/>
        </w:rPr>
        <w:t>ποσοστά συμμετοχής των ασφαλισμένων.</w:t>
      </w:r>
      <w:r w:rsidR="006A6FAE" w:rsidRPr="00827975">
        <w:rPr>
          <w:rFonts w:asciiTheme="majorHAnsi" w:hAnsiTheme="majorHAnsi" w:cs="Tahoma"/>
          <w:sz w:val="22"/>
          <w:lang w:val="el-GR"/>
        </w:rPr>
        <w:t xml:space="preserve"> </w:t>
      </w:r>
      <w:r w:rsidR="001E1EB6">
        <w:rPr>
          <w:rFonts w:asciiTheme="majorHAnsi" w:hAnsiTheme="majorHAnsi" w:cs="Tahoma"/>
          <w:sz w:val="22"/>
          <w:lang w:val="el-GR"/>
        </w:rPr>
        <w:t>Π</w:t>
      </w:r>
      <w:r w:rsidR="006A6FAE" w:rsidRPr="00827975">
        <w:rPr>
          <w:rFonts w:asciiTheme="majorHAnsi" w:hAnsiTheme="majorHAnsi" w:cs="Tahoma"/>
          <w:sz w:val="22"/>
          <w:lang w:val="el-GR"/>
        </w:rPr>
        <w:t>αραμένει</w:t>
      </w:r>
      <w:r w:rsidR="001E1EB6">
        <w:rPr>
          <w:rFonts w:asciiTheme="majorHAnsi" w:hAnsiTheme="majorHAnsi" w:cs="Tahoma"/>
          <w:sz w:val="22"/>
          <w:lang w:val="el-GR"/>
        </w:rPr>
        <w:t>, όμως,</w:t>
      </w:r>
      <w:r w:rsidR="006A6FAE" w:rsidRPr="00827975">
        <w:rPr>
          <w:rFonts w:asciiTheme="majorHAnsi" w:hAnsiTheme="majorHAnsi" w:cs="Tahoma"/>
          <w:sz w:val="22"/>
          <w:lang w:val="el-GR"/>
        </w:rPr>
        <w:t xml:space="preserve"> σε εκκρεμότητα το ζήτημα </w:t>
      </w:r>
      <w:r w:rsidR="00B45703">
        <w:rPr>
          <w:rFonts w:asciiTheme="majorHAnsi" w:hAnsiTheme="majorHAnsi" w:cs="Tahoma"/>
          <w:sz w:val="22"/>
          <w:lang w:val="el-GR"/>
        </w:rPr>
        <w:t>της χρηματοδότησης και υλοποίησή</w:t>
      </w:r>
      <w:r w:rsidR="006A6FAE" w:rsidRPr="00827975">
        <w:rPr>
          <w:rFonts w:asciiTheme="majorHAnsi" w:hAnsiTheme="majorHAnsi" w:cs="Tahoma"/>
          <w:sz w:val="22"/>
          <w:lang w:val="el-GR"/>
        </w:rPr>
        <w:t>ς του.</w:t>
      </w:r>
    </w:p>
    <w:p w14:paraId="7CAF3080" w14:textId="77777777" w:rsidR="0002263C" w:rsidRPr="00827975" w:rsidRDefault="0002263C" w:rsidP="00827975">
      <w:pPr>
        <w:spacing w:before="120" w:after="120" w:line="360" w:lineRule="auto"/>
        <w:jc w:val="both"/>
        <w:rPr>
          <w:rFonts w:asciiTheme="majorHAnsi" w:hAnsiTheme="majorHAnsi" w:cs="Tahoma"/>
          <w:sz w:val="22"/>
          <w:lang w:val="el-GR"/>
        </w:rPr>
      </w:pPr>
    </w:p>
    <w:p w14:paraId="21558DEF" w14:textId="77777777" w:rsidR="0002263C" w:rsidRPr="00827975" w:rsidRDefault="0002263C"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Ενδυνάμωση Επιτροπής Διαπραγμάτευσης</w:t>
      </w:r>
    </w:p>
    <w:p w14:paraId="5370BA89" w14:textId="5C0877A2" w:rsidR="008E5B1C" w:rsidRPr="00827975" w:rsidRDefault="008E5B1C" w:rsidP="00827975">
      <w:pPr>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sz w:val="22"/>
          <w:lang w:val="el-GR"/>
        </w:rPr>
        <w:t xml:space="preserve">Η θεσμός της Επιτροπής Διαπραγμάτευσης αποτελεί καινοτομία για την οργάνωση και λειτουργία του συστήματος υγείας, καθώς επιδιώκει τη σύναψη συμβάσεων στη βάση </w:t>
      </w:r>
      <w:r w:rsidRPr="00827975">
        <w:rPr>
          <w:rFonts w:asciiTheme="majorHAnsi" w:hAnsiTheme="majorHAnsi"/>
          <w:sz w:val="22"/>
          <w:lang w:val="el-GR"/>
        </w:rPr>
        <w:lastRenderedPageBreak/>
        <w:t>επιστημονικών κριτηρίων, ενώ αναμένεται να αποφέρει ιδιαίτερα σημαντικά οφέλη στον εξορθολογισμό των δαπανών του Οργανισμού. Παράλληλα, με τη λειτουργία της Επιτροπής τίθενται νέες διαδικασίες στο διάλογο με τους παρόχους και εισάγεται ένα νέο περιβάλλον  επικοινωνίας και συνεργασίας το οποίο διέπεται από διαφανείς και εμπιστευτικές διαδικασίες.</w:t>
      </w:r>
      <w:r w:rsidR="00624898" w:rsidRPr="00827975">
        <w:rPr>
          <w:rFonts w:asciiTheme="majorHAnsi" w:hAnsiTheme="majorHAnsi"/>
          <w:sz w:val="22"/>
          <w:lang w:val="el-GR"/>
        </w:rPr>
        <w:t xml:space="preserve"> </w:t>
      </w:r>
      <w:r w:rsidR="006A6FAE" w:rsidRPr="00827975">
        <w:rPr>
          <w:rFonts w:asciiTheme="majorHAnsi" w:hAnsiTheme="majorHAnsi"/>
          <w:sz w:val="22"/>
          <w:lang w:val="el-GR"/>
        </w:rPr>
        <w:t>Ο ΕΟΠΥΥ έχει υποβάλλει προς το Υπουργείο Υγείας, σχετική πρόταση για τη βελτίωση του θεσμικού πλαισίου και των λειτουργικών κανόνων της Επιτροπής, με στόχο την ενδυνάμωση τους ρόλου της και τη θεσμική θωράκιση των διαδικασιών και αποφάσεών της, καθώς επίσης και σχετική πρόταση για τη στελέχωσή της, δεδομένης της λήξης της θητείας της προηγούμενης σύνθεσης.</w:t>
      </w:r>
    </w:p>
    <w:p w14:paraId="527C72B2" w14:textId="77777777" w:rsidR="00624898" w:rsidRPr="00827975" w:rsidRDefault="00624898" w:rsidP="00827975">
      <w:pPr>
        <w:pStyle w:val="a4"/>
        <w:spacing w:before="120" w:after="120" w:line="360" w:lineRule="auto"/>
        <w:jc w:val="both"/>
        <w:rPr>
          <w:rFonts w:asciiTheme="majorHAnsi" w:hAnsiTheme="majorHAnsi" w:cs="Tahoma"/>
          <w:sz w:val="22"/>
          <w:lang w:val="el-GR"/>
        </w:rPr>
      </w:pPr>
    </w:p>
    <w:p w14:paraId="46ECD54D" w14:textId="06A1F351" w:rsidR="00624898" w:rsidRPr="00827975" w:rsidRDefault="00B20A0B" w:rsidP="00827975">
      <w:pPr>
        <w:pStyle w:val="a4"/>
        <w:spacing w:before="120" w:after="120" w:line="360" w:lineRule="auto"/>
        <w:jc w:val="both"/>
        <w:rPr>
          <w:rFonts w:asciiTheme="majorHAnsi" w:hAnsiTheme="majorHAnsi" w:cs="Tahoma"/>
          <w:color w:val="365F91" w:themeColor="accent1" w:themeShade="BF"/>
          <w:sz w:val="22"/>
          <w:u w:val="single"/>
          <w:lang w:val="el-GR"/>
        </w:rPr>
      </w:pPr>
      <w:r w:rsidRPr="00827975">
        <w:rPr>
          <w:rFonts w:asciiTheme="majorHAnsi" w:hAnsiTheme="majorHAnsi" w:cs="Tahoma"/>
          <w:color w:val="365F91" w:themeColor="accent1" w:themeShade="BF"/>
          <w:sz w:val="22"/>
          <w:u w:val="single"/>
          <w:lang w:val="el-GR"/>
        </w:rPr>
        <w:t>Εισαγωγή των αποτελεσμάτων των εξ</w:t>
      </w:r>
      <w:r w:rsidR="006A6FAE" w:rsidRPr="00827975">
        <w:rPr>
          <w:rFonts w:asciiTheme="majorHAnsi" w:hAnsiTheme="majorHAnsi" w:cs="Tahoma"/>
          <w:color w:val="365F91" w:themeColor="accent1" w:themeShade="BF"/>
          <w:sz w:val="22"/>
          <w:u w:val="single"/>
          <w:lang w:val="el-GR"/>
        </w:rPr>
        <w:t xml:space="preserve">ετάσεων στον ηλεκτρονικό φάκελο </w:t>
      </w:r>
      <w:r w:rsidRPr="00827975">
        <w:rPr>
          <w:rFonts w:asciiTheme="majorHAnsi" w:hAnsiTheme="majorHAnsi" w:cs="Tahoma"/>
          <w:color w:val="365F91" w:themeColor="accent1" w:themeShade="BF"/>
          <w:sz w:val="22"/>
          <w:u w:val="single"/>
          <w:lang w:val="el-GR"/>
        </w:rPr>
        <w:t>ασφαλισμένου.</w:t>
      </w:r>
    </w:p>
    <w:p w14:paraId="41B33172" w14:textId="4BE265F5" w:rsidR="00624898" w:rsidRPr="00827975" w:rsidRDefault="00B20A0B" w:rsidP="00827975">
      <w:pPr>
        <w:pStyle w:val="a4"/>
        <w:spacing w:before="120" w:after="120" w:line="360" w:lineRule="auto"/>
        <w:jc w:val="both"/>
        <w:rPr>
          <w:rFonts w:asciiTheme="majorHAnsi" w:hAnsiTheme="majorHAnsi" w:cs="Tahoma"/>
          <w:sz w:val="22"/>
          <w:u w:val="single"/>
          <w:lang w:val="el-GR"/>
        </w:rPr>
      </w:pPr>
      <w:r w:rsidRPr="00827975">
        <w:rPr>
          <w:rFonts w:asciiTheme="majorHAnsi" w:hAnsiTheme="majorHAnsi" w:cs="Tahoma"/>
          <w:sz w:val="22"/>
          <w:lang w:val="el-GR"/>
        </w:rPr>
        <w:t>Τα αποτελέσματα που προκύπτουν από την εκτέλεση των εξετάσεων θα εισάγονται στη βάση δεδομένων του ΕΟΠΥΥ και θα ενημερώνεται ο ηλεκτρονικός φάκελος κάθε ασφαλισμένου.</w:t>
      </w:r>
    </w:p>
    <w:p w14:paraId="476E3541" w14:textId="77777777" w:rsidR="006A6FAE" w:rsidRPr="00827975" w:rsidRDefault="006A6FAE" w:rsidP="00827975">
      <w:pPr>
        <w:pStyle w:val="a4"/>
        <w:spacing w:before="120" w:after="120" w:line="360" w:lineRule="auto"/>
        <w:jc w:val="both"/>
        <w:rPr>
          <w:rFonts w:asciiTheme="majorHAnsi" w:hAnsiTheme="majorHAnsi"/>
          <w:sz w:val="22"/>
          <w:lang w:val="el-GR"/>
        </w:rPr>
      </w:pPr>
    </w:p>
    <w:p w14:paraId="1F57F2BE"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0C0814B4"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2D0F0147"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33B0CA00"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2042273C"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24E7FC58"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72C883BF" w14:textId="77777777" w:rsidR="00422ED6" w:rsidRDefault="00422ED6" w:rsidP="00827975">
      <w:pPr>
        <w:spacing w:before="120" w:after="120" w:line="360" w:lineRule="auto"/>
        <w:rPr>
          <w:rFonts w:asciiTheme="majorHAnsi" w:hAnsiTheme="majorHAnsi"/>
          <w:color w:val="365F91" w:themeColor="accent1" w:themeShade="BF"/>
          <w:sz w:val="22"/>
          <w:lang w:val="el-GR"/>
        </w:rPr>
      </w:pPr>
    </w:p>
    <w:p w14:paraId="66E5DCAF" w14:textId="777D78D2" w:rsidR="00422ED6" w:rsidRDefault="00010C46" w:rsidP="00A47A74">
      <w:pPr>
        <w:rPr>
          <w:rFonts w:asciiTheme="majorHAnsi" w:hAnsiTheme="majorHAnsi"/>
          <w:color w:val="365F91" w:themeColor="accent1" w:themeShade="BF"/>
          <w:sz w:val="22"/>
          <w:lang w:val="el-GR"/>
        </w:rPr>
      </w:pPr>
      <w:r>
        <w:rPr>
          <w:rFonts w:asciiTheme="majorHAnsi" w:hAnsiTheme="majorHAnsi"/>
          <w:color w:val="365F91" w:themeColor="accent1" w:themeShade="BF"/>
          <w:sz w:val="22"/>
          <w:lang w:val="el-GR"/>
        </w:rPr>
        <w:br w:type="page"/>
      </w:r>
    </w:p>
    <w:p w14:paraId="75009A1F" w14:textId="0AE4A1B4" w:rsidR="00422ED6" w:rsidRPr="00827975" w:rsidRDefault="00422ED6" w:rsidP="00422ED6">
      <w:pPr>
        <w:pStyle w:val="a4"/>
        <w:shd w:val="clear" w:color="auto" w:fill="DBE5F1" w:themeFill="accent1" w:themeFillTint="33"/>
        <w:spacing w:before="120" w:after="120" w:line="360" w:lineRule="auto"/>
        <w:jc w:val="both"/>
        <w:rPr>
          <w:rFonts w:asciiTheme="majorHAnsi" w:hAnsiTheme="majorHAnsi"/>
          <w:b/>
          <w:color w:val="E36C0A" w:themeColor="accent6" w:themeShade="BF"/>
          <w:sz w:val="22"/>
          <w:lang w:val="el-GR"/>
        </w:rPr>
      </w:pPr>
      <w:r>
        <w:rPr>
          <w:rFonts w:asciiTheme="majorHAnsi" w:hAnsiTheme="majorHAnsi"/>
          <w:b/>
          <w:color w:val="E36C0A" w:themeColor="accent6" w:themeShade="BF"/>
          <w:sz w:val="22"/>
          <w:lang w:val="el-GR"/>
        </w:rPr>
        <w:lastRenderedPageBreak/>
        <w:t>Ευχαριστίες</w:t>
      </w:r>
    </w:p>
    <w:p w14:paraId="001C1ACF" w14:textId="77777777" w:rsidR="00422ED6" w:rsidRDefault="00422ED6" w:rsidP="00827975">
      <w:pPr>
        <w:spacing w:before="120" w:after="120" w:line="360" w:lineRule="auto"/>
        <w:rPr>
          <w:rFonts w:asciiTheme="majorHAnsi" w:hAnsiTheme="majorHAnsi"/>
          <w:b/>
          <w:color w:val="365F91" w:themeColor="accent1" w:themeShade="BF"/>
          <w:sz w:val="22"/>
          <w:lang w:val="el-GR"/>
        </w:rPr>
      </w:pPr>
    </w:p>
    <w:p w14:paraId="6D3464A6" w14:textId="0F06ABC4" w:rsidR="00EA4B0C" w:rsidRPr="00EA4B0C" w:rsidRDefault="00B45703" w:rsidP="00EA4B0C">
      <w:pPr>
        <w:spacing w:line="360" w:lineRule="auto"/>
        <w:jc w:val="both"/>
        <w:rPr>
          <w:rFonts w:asciiTheme="majorHAnsi" w:hAnsiTheme="majorHAnsi"/>
          <w:sz w:val="22"/>
          <w:lang w:val="el-GR"/>
        </w:rPr>
      </w:pPr>
      <w:r>
        <w:rPr>
          <w:rFonts w:asciiTheme="majorHAnsi" w:hAnsiTheme="majorHAnsi"/>
          <w:sz w:val="22"/>
          <w:lang w:val="el-GR"/>
        </w:rPr>
        <w:t>Από αυτή τη θέση, καταρχήν, θα ήθελα να ευχαριστήσω</w:t>
      </w:r>
      <w:r w:rsidR="00EA4B0C" w:rsidRPr="00EA4B0C">
        <w:rPr>
          <w:rFonts w:asciiTheme="majorHAnsi" w:hAnsiTheme="majorHAnsi"/>
          <w:sz w:val="22"/>
          <w:lang w:val="el-GR"/>
        </w:rPr>
        <w:t xml:space="preserve"> θερμά αυτούς που μου εμπιστεύθηκαν</w:t>
      </w:r>
      <w:r>
        <w:rPr>
          <w:rFonts w:asciiTheme="majorHAnsi" w:hAnsiTheme="majorHAnsi"/>
          <w:sz w:val="22"/>
          <w:lang w:val="el-GR"/>
        </w:rPr>
        <w:t xml:space="preserve"> μία τόσο σημαντική και κρίσιμη θέση αλλά και όλους όσοι διατέλεσαν υπουργοί Υγείας στη διάρκεια της θητείας μου -5 συνολικά-</w:t>
      </w:r>
      <w:r w:rsidR="00EA4B0C" w:rsidRPr="00EA4B0C">
        <w:rPr>
          <w:rFonts w:asciiTheme="majorHAnsi" w:hAnsiTheme="majorHAnsi"/>
          <w:sz w:val="22"/>
          <w:lang w:val="el-GR"/>
        </w:rPr>
        <w:t xml:space="preserve"> με τους οποίους </w:t>
      </w:r>
      <w:r w:rsidR="006801A8">
        <w:rPr>
          <w:rFonts w:asciiTheme="majorHAnsi" w:hAnsiTheme="majorHAnsi"/>
          <w:sz w:val="22"/>
          <w:lang w:val="el-GR"/>
        </w:rPr>
        <w:t>συνεργάστηκα</w:t>
      </w:r>
      <w:r w:rsidR="00EA4B0C" w:rsidRPr="00EA4B0C">
        <w:rPr>
          <w:rFonts w:asciiTheme="majorHAnsi" w:hAnsiTheme="majorHAnsi"/>
          <w:sz w:val="22"/>
          <w:lang w:val="el-GR"/>
        </w:rPr>
        <w:t xml:space="preserve"> με τον αποδοτικότερο</w:t>
      </w:r>
      <w:r>
        <w:rPr>
          <w:rFonts w:asciiTheme="majorHAnsi" w:hAnsiTheme="majorHAnsi"/>
          <w:sz w:val="22"/>
          <w:lang w:val="el-GR"/>
        </w:rPr>
        <w:t xml:space="preserve"> δυνατό</w:t>
      </w:r>
      <w:r w:rsidR="00EA4B0C" w:rsidRPr="00EA4B0C">
        <w:rPr>
          <w:rFonts w:asciiTheme="majorHAnsi" w:hAnsiTheme="majorHAnsi"/>
          <w:sz w:val="22"/>
          <w:lang w:val="el-GR"/>
        </w:rPr>
        <w:t xml:space="preserve"> τρόπο. Οι απόψεις μας δεν συνέπιπταν πάντα- ακόμη και με εκείνους που αν</w:t>
      </w:r>
      <w:r w:rsidR="00E17BC4">
        <w:rPr>
          <w:rFonts w:asciiTheme="majorHAnsi" w:hAnsiTheme="majorHAnsi"/>
          <w:sz w:val="22"/>
          <w:lang w:val="el-GR"/>
        </w:rPr>
        <w:t>ή</w:t>
      </w:r>
      <w:r w:rsidR="00D464AE">
        <w:rPr>
          <w:rFonts w:asciiTheme="majorHAnsi" w:hAnsiTheme="majorHAnsi"/>
          <w:sz w:val="22"/>
          <w:lang w:val="el-GR"/>
        </w:rPr>
        <w:t>καν</w:t>
      </w:r>
      <w:r w:rsidR="00E17BC4">
        <w:rPr>
          <w:rFonts w:asciiTheme="majorHAnsi" w:hAnsiTheme="majorHAnsi"/>
          <w:sz w:val="22"/>
          <w:lang w:val="el-GR"/>
        </w:rPr>
        <w:t xml:space="preserve"> στον ίδιο πολιτικό φορέα- </w:t>
      </w:r>
      <w:r w:rsidR="00EA4B0C" w:rsidRPr="00EA4B0C">
        <w:rPr>
          <w:rFonts w:asciiTheme="majorHAnsi" w:hAnsiTheme="majorHAnsi"/>
          <w:sz w:val="22"/>
          <w:lang w:val="el-GR"/>
        </w:rPr>
        <w:t xml:space="preserve">αλλά αυτό δεν εμπόδισε την </w:t>
      </w:r>
      <w:r w:rsidR="00E17BC4">
        <w:rPr>
          <w:rFonts w:asciiTheme="majorHAnsi" w:hAnsiTheme="majorHAnsi"/>
          <w:sz w:val="22"/>
          <w:lang w:val="el-GR"/>
        </w:rPr>
        <w:t xml:space="preserve">ομαλή </w:t>
      </w:r>
      <w:r>
        <w:rPr>
          <w:rFonts w:asciiTheme="majorHAnsi" w:hAnsiTheme="majorHAnsi"/>
          <w:sz w:val="22"/>
          <w:lang w:val="el-GR"/>
        </w:rPr>
        <w:t xml:space="preserve">συνεργασία </w:t>
      </w:r>
      <w:r w:rsidR="00D464AE">
        <w:rPr>
          <w:rFonts w:asciiTheme="majorHAnsi" w:hAnsiTheme="majorHAnsi"/>
          <w:sz w:val="22"/>
          <w:lang w:val="el-GR"/>
        </w:rPr>
        <w:t xml:space="preserve">μας </w:t>
      </w:r>
      <w:r>
        <w:rPr>
          <w:rFonts w:asciiTheme="majorHAnsi" w:hAnsiTheme="majorHAnsi"/>
          <w:sz w:val="22"/>
          <w:lang w:val="el-GR"/>
        </w:rPr>
        <w:t>και την προσήλωση στο δύσκολο έργο.</w:t>
      </w:r>
      <w:r w:rsidR="009C2DB1">
        <w:rPr>
          <w:rFonts w:asciiTheme="majorHAnsi" w:hAnsiTheme="majorHAnsi"/>
          <w:sz w:val="22"/>
          <w:lang w:val="el-GR"/>
        </w:rPr>
        <w:t xml:space="preserve"> </w:t>
      </w:r>
      <w:r>
        <w:rPr>
          <w:rFonts w:asciiTheme="majorHAnsi" w:hAnsiTheme="majorHAnsi"/>
          <w:sz w:val="22"/>
          <w:lang w:val="el-GR"/>
        </w:rPr>
        <w:t>Σ</w:t>
      </w:r>
      <w:r w:rsidRPr="00EA4B0C">
        <w:rPr>
          <w:rFonts w:asciiTheme="majorHAnsi" w:hAnsiTheme="majorHAnsi"/>
          <w:sz w:val="22"/>
          <w:lang w:val="el-GR"/>
        </w:rPr>
        <w:t>ε καμία περίπτωση</w:t>
      </w:r>
      <w:r>
        <w:rPr>
          <w:rFonts w:asciiTheme="majorHAnsi" w:hAnsiTheme="majorHAnsi"/>
          <w:sz w:val="22"/>
          <w:lang w:val="el-GR"/>
        </w:rPr>
        <w:t>,</w:t>
      </w:r>
      <w:r w:rsidRPr="00EA4B0C">
        <w:rPr>
          <w:rFonts w:asciiTheme="majorHAnsi" w:hAnsiTheme="majorHAnsi"/>
          <w:sz w:val="22"/>
          <w:lang w:val="el-GR"/>
        </w:rPr>
        <w:t xml:space="preserve"> </w:t>
      </w:r>
      <w:r>
        <w:rPr>
          <w:rFonts w:asciiTheme="majorHAnsi" w:hAnsiTheme="majorHAnsi"/>
          <w:sz w:val="22"/>
          <w:lang w:val="el-GR"/>
        </w:rPr>
        <w:t>η</w:t>
      </w:r>
      <w:r w:rsidR="00E17BC4">
        <w:rPr>
          <w:rFonts w:asciiTheme="majorHAnsi" w:hAnsiTheme="majorHAnsi"/>
          <w:sz w:val="22"/>
          <w:lang w:val="el-GR"/>
        </w:rPr>
        <w:t xml:space="preserve"> υπόθεση της υγείας και </w:t>
      </w:r>
      <w:r w:rsidR="00EA4B0C" w:rsidRPr="00EA4B0C">
        <w:rPr>
          <w:rFonts w:asciiTheme="majorHAnsi" w:hAnsiTheme="majorHAnsi"/>
          <w:sz w:val="22"/>
          <w:lang w:val="el-GR"/>
        </w:rPr>
        <w:t xml:space="preserve">της ασφαλισμένης περίθαλψης δεν </w:t>
      </w:r>
      <w:r w:rsidR="00D464AE">
        <w:rPr>
          <w:rFonts w:asciiTheme="majorHAnsi" w:hAnsiTheme="majorHAnsi"/>
          <w:sz w:val="22"/>
          <w:lang w:val="el-GR"/>
        </w:rPr>
        <w:t xml:space="preserve">πρέπει και δεν </w:t>
      </w:r>
      <w:r w:rsidR="00EA4B0C" w:rsidRPr="00EA4B0C">
        <w:rPr>
          <w:rFonts w:asciiTheme="majorHAnsi" w:hAnsiTheme="majorHAnsi"/>
          <w:sz w:val="22"/>
          <w:lang w:val="el-GR"/>
        </w:rPr>
        <w:t>είναι κομματική υπόθεση</w:t>
      </w:r>
      <w:r w:rsidR="00E17BC4">
        <w:rPr>
          <w:rFonts w:asciiTheme="majorHAnsi" w:hAnsiTheme="majorHAnsi"/>
          <w:sz w:val="22"/>
          <w:lang w:val="el-GR"/>
        </w:rPr>
        <w:t>,</w:t>
      </w:r>
      <w:r w:rsidR="00EA4B0C" w:rsidRPr="00EA4B0C">
        <w:rPr>
          <w:rFonts w:asciiTheme="majorHAnsi" w:hAnsiTheme="majorHAnsi"/>
          <w:sz w:val="22"/>
          <w:lang w:val="el-GR"/>
        </w:rPr>
        <w:t xml:space="preserve"> ούτε </w:t>
      </w:r>
      <w:r w:rsidR="00D464AE">
        <w:rPr>
          <w:rFonts w:asciiTheme="majorHAnsi" w:hAnsiTheme="majorHAnsi"/>
          <w:sz w:val="22"/>
          <w:lang w:val="el-GR"/>
        </w:rPr>
        <w:t xml:space="preserve">μπορεί να </w:t>
      </w:r>
      <w:r>
        <w:rPr>
          <w:rFonts w:asciiTheme="majorHAnsi" w:hAnsiTheme="majorHAnsi"/>
          <w:sz w:val="22"/>
          <w:lang w:val="el-GR"/>
        </w:rPr>
        <w:t>μετατρέπεται σε πεδίο άσκησης</w:t>
      </w:r>
      <w:r w:rsidR="00EA4B0C" w:rsidRPr="00EA4B0C">
        <w:rPr>
          <w:rFonts w:asciiTheme="majorHAnsi" w:hAnsiTheme="majorHAnsi"/>
          <w:sz w:val="22"/>
          <w:lang w:val="el-GR"/>
        </w:rPr>
        <w:t xml:space="preserve"> μικροκομματική</w:t>
      </w:r>
      <w:r>
        <w:rPr>
          <w:rFonts w:asciiTheme="majorHAnsi" w:hAnsiTheme="majorHAnsi"/>
          <w:sz w:val="22"/>
          <w:lang w:val="el-GR"/>
        </w:rPr>
        <w:t>ς</w:t>
      </w:r>
      <w:r w:rsidR="00D464AE">
        <w:rPr>
          <w:rFonts w:asciiTheme="majorHAnsi" w:hAnsiTheme="majorHAnsi"/>
          <w:sz w:val="22"/>
          <w:lang w:val="el-GR"/>
        </w:rPr>
        <w:t xml:space="preserve"> πολιτικής</w:t>
      </w:r>
      <w:r w:rsidR="00EA4B0C" w:rsidRPr="00EA4B0C">
        <w:rPr>
          <w:rFonts w:asciiTheme="majorHAnsi" w:hAnsiTheme="majorHAnsi"/>
          <w:sz w:val="22"/>
          <w:lang w:val="el-GR"/>
        </w:rPr>
        <w:t>.</w:t>
      </w:r>
    </w:p>
    <w:p w14:paraId="1CCBEB90" w14:textId="1BEEE370" w:rsidR="00EA4B0C" w:rsidRPr="00EA4B0C" w:rsidRDefault="00B45703" w:rsidP="00EA4B0C">
      <w:pPr>
        <w:spacing w:line="360" w:lineRule="auto"/>
        <w:jc w:val="both"/>
        <w:rPr>
          <w:rFonts w:asciiTheme="majorHAnsi" w:hAnsiTheme="majorHAnsi"/>
          <w:sz w:val="22"/>
          <w:lang w:val="el-GR"/>
        </w:rPr>
      </w:pPr>
      <w:r>
        <w:rPr>
          <w:rFonts w:asciiTheme="majorHAnsi" w:hAnsiTheme="majorHAnsi"/>
          <w:sz w:val="22"/>
          <w:lang w:val="el-GR"/>
        </w:rPr>
        <w:t>Θα ήθελα επίσης, να ευχαριστήσω</w:t>
      </w:r>
      <w:r w:rsidR="00E17BC4">
        <w:rPr>
          <w:rFonts w:asciiTheme="majorHAnsi" w:hAnsiTheme="majorHAnsi"/>
          <w:sz w:val="22"/>
          <w:lang w:val="el-GR"/>
        </w:rPr>
        <w:t xml:space="preserve"> θερμά τον Αντιπρόεδρο κ. Μπραβάκο, </w:t>
      </w:r>
      <w:r w:rsidR="00D464AE">
        <w:rPr>
          <w:rFonts w:asciiTheme="majorHAnsi" w:hAnsiTheme="majorHAnsi"/>
          <w:sz w:val="22"/>
          <w:lang w:val="el-GR"/>
        </w:rPr>
        <w:t xml:space="preserve">με τον οποίο είχα αδιατάραχτη συνεργασία, </w:t>
      </w:r>
      <w:r w:rsidR="00E17BC4">
        <w:rPr>
          <w:rFonts w:asciiTheme="majorHAnsi" w:hAnsiTheme="majorHAnsi"/>
          <w:sz w:val="22"/>
          <w:lang w:val="el-GR"/>
        </w:rPr>
        <w:t xml:space="preserve">το Γενικό Διευθυντή κ. Βαφειάδη και τη Γενική </w:t>
      </w:r>
      <w:r w:rsidR="00D464AE">
        <w:rPr>
          <w:rFonts w:asciiTheme="majorHAnsi" w:hAnsiTheme="majorHAnsi"/>
          <w:sz w:val="22"/>
          <w:lang w:val="el-GR"/>
        </w:rPr>
        <w:t>Επιθεωρήτρια</w:t>
      </w:r>
      <w:r w:rsidR="00E17BC4">
        <w:rPr>
          <w:rFonts w:asciiTheme="majorHAnsi" w:hAnsiTheme="majorHAnsi"/>
          <w:sz w:val="22"/>
          <w:lang w:val="el-GR"/>
        </w:rPr>
        <w:t xml:space="preserve"> της ΥΠΕΔΥΦΚΑ κα Γεωργιάδου, με τους οποίους είχα </w:t>
      </w:r>
      <w:r w:rsidR="00D464AE">
        <w:rPr>
          <w:rFonts w:asciiTheme="majorHAnsi" w:hAnsiTheme="majorHAnsi"/>
          <w:sz w:val="22"/>
          <w:lang w:val="el-GR"/>
        </w:rPr>
        <w:t>ιδιαίτερα παραγωγική</w:t>
      </w:r>
      <w:r w:rsidR="00E17BC4">
        <w:rPr>
          <w:rFonts w:asciiTheme="majorHAnsi" w:hAnsiTheme="majorHAnsi"/>
          <w:sz w:val="22"/>
          <w:lang w:val="el-GR"/>
        </w:rPr>
        <w:t xml:space="preserve"> συνεργασία. Επίσης</w:t>
      </w:r>
      <w:r>
        <w:rPr>
          <w:rFonts w:asciiTheme="majorHAnsi" w:hAnsiTheme="majorHAnsi"/>
          <w:sz w:val="22"/>
          <w:lang w:val="el-GR"/>
        </w:rPr>
        <w:t xml:space="preserve">, θέλω να ευχαριστήσω </w:t>
      </w:r>
      <w:r w:rsidR="00EA4B0C" w:rsidRPr="00EA4B0C">
        <w:rPr>
          <w:rFonts w:asciiTheme="majorHAnsi" w:hAnsiTheme="majorHAnsi"/>
          <w:sz w:val="22"/>
          <w:lang w:val="el-GR"/>
        </w:rPr>
        <w:t>τα μέλη του Διοικητικού Συμβουλίου που αδιάλειπτ</w:t>
      </w:r>
      <w:r w:rsidR="00E17BC4">
        <w:rPr>
          <w:rFonts w:asciiTheme="majorHAnsi" w:hAnsiTheme="majorHAnsi"/>
          <w:sz w:val="22"/>
          <w:lang w:val="el-GR"/>
        </w:rPr>
        <w:t>α συμμετείχαν στις συνεδριάσεις,</w:t>
      </w:r>
      <w:r w:rsidR="00EA4B0C" w:rsidRPr="00EA4B0C">
        <w:rPr>
          <w:rFonts w:asciiTheme="majorHAnsi" w:hAnsiTheme="majorHAnsi"/>
          <w:sz w:val="22"/>
          <w:lang w:val="el-GR"/>
        </w:rPr>
        <w:t xml:space="preserve"> χωρίς ούτε μία φορά να ακυρωθεί </w:t>
      </w:r>
      <w:r w:rsidR="00E17BC4">
        <w:rPr>
          <w:rFonts w:asciiTheme="majorHAnsi" w:hAnsiTheme="majorHAnsi"/>
          <w:sz w:val="22"/>
          <w:lang w:val="el-GR"/>
        </w:rPr>
        <w:t>συνεδρίαση από έλλειψη απαρτίας</w:t>
      </w:r>
      <w:r w:rsidR="00EA4B0C" w:rsidRPr="00EA4B0C">
        <w:rPr>
          <w:rFonts w:asciiTheme="majorHAnsi" w:hAnsiTheme="majorHAnsi"/>
          <w:sz w:val="22"/>
          <w:lang w:val="el-GR"/>
        </w:rPr>
        <w:t>. Μ</w:t>
      </w:r>
      <w:r w:rsidR="00614E6D">
        <w:rPr>
          <w:rFonts w:asciiTheme="majorHAnsi" w:hAnsiTheme="majorHAnsi"/>
          <w:sz w:val="22"/>
          <w:lang w:val="el-GR"/>
        </w:rPr>
        <w:t>ια</w:t>
      </w:r>
      <w:r w:rsidR="00EA4B0C" w:rsidRPr="00EA4B0C">
        <w:rPr>
          <w:rFonts w:asciiTheme="majorHAnsi" w:hAnsiTheme="majorHAnsi"/>
          <w:sz w:val="22"/>
          <w:lang w:val="el-GR"/>
        </w:rPr>
        <w:t xml:space="preserve"> συμμετ</w:t>
      </w:r>
      <w:r>
        <w:rPr>
          <w:rFonts w:asciiTheme="majorHAnsi" w:hAnsiTheme="majorHAnsi"/>
          <w:sz w:val="22"/>
          <w:lang w:val="el-GR"/>
        </w:rPr>
        <w:t>οχή ενεργή, υπεύθυνη, κριτική, μ</w:t>
      </w:r>
      <w:r w:rsidR="00EA4B0C" w:rsidRPr="00EA4B0C">
        <w:rPr>
          <w:rFonts w:asciiTheme="majorHAnsi" w:hAnsiTheme="majorHAnsi"/>
          <w:sz w:val="22"/>
          <w:lang w:val="el-GR"/>
        </w:rPr>
        <w:t>ε προτάσεις, επιχειρήματα και κυρίως με σταθερό γνώμονα τη λήψη αποφάσεων προς όφελος των ασφαλισμένων</w:t>
      </w:r>
      <w:r>
        <w:rPr>
          <w:rFonts w:asciiTheme="majorHAnsi" w:hAnsiTheme="majorHAnsi"/>
          <w:sz w:val="22"/>
          <w:lang w:val="el-GR"/>
        </w:rPr>
        <w:t xml:space="preserve"> και προάσπισης του Οργανισμού</w:t>
      </w:r>
      <w:r w:rsidR="00EA4B0C" w:rsidRPr="00EA4B0C">
        <w:rPr>
          <w:rFonts w:asciiTheme="majorHAnsi" w:hAnsiTheme="majorHAnsi"/>
          <w:sz w:val="22"/>
          <w:lang w:val="el-GR"/>
        </w:rPr>
        <w:t xml:space="preserve">. </w:t>
      </w:r>
    </w:p>
    <w:p w14:paraId="4B91A497" w14:textId="191084EE" w:rsidR="00EA4B0C" w:rsidRPr="00EA4B0C" w:rsidRDefault="00EA4B0C" w:rsidP="00EA4B0C">
      <w:pPr>
        <w:spacing w:line="360" w:lineRule="auto"/>
        <w:jc w:val="both"/>
        <w:rPr>
          <w:rFonts w:asciiTheme="majorHAnsi" w:hAnsiTheme="majorHAnsi"/>
          <w:sz w:val="22"/>
          <w:lang w:val="el-GR"/>
        </w:rPr>
      </w:pPr>
      <w:r w:rsidRPr="00EA4B0C">
        <w:rPr>
          <w:rFonts w:asciiTheme="majorHAnsi" w:hAnsiTheme="majorHAnsi"/>
          <w:sz w:val="22"/>
          <w:lang w:val="el-GR"/>
        </w:rPr>
        <w:t>Κλείνοντας</w:t>
      </w:r>
      <w:r w:rsidR="00B45703">
        <w:rPr>
          <w:rFonts w:asciiTheme="majorHAnsi" w:hAnsiTheme="majorHAnsi"/>
          <w:sz w:val="22"/>
          <w:lang w:val="el-GR"/>
        </w:rPr>
        <w:t>,</w:t>
      </w:r>
      <w:r w:rsidRPr="00EA4B0C">
        <w:rPr>
          <w:rFonts w:asciiTheme="majorHAnsi" w:hAnsiTheme="majorHAnsi"/>
          <w:sz w:val="22"/>
          <w:lang w:val="el-GR"/>
        </w:rPr>
        <w:t xml:space="preserve"> θα ήθελα να ευχαριστήσω πραγματικά, από τα βάθη της καρδιάς μου τα στελέχη κα</w:t>
      </w:r>
      <w:r w:rsidR="00E17BC4">
        <w:rPr>
          <w:rFonts w:asciiTheme="majorHAnsi" w:hAnsiTheme="majorHAnsi"/>
          <w:sz w:val="22"/>
          <w:lang w:val="el-GR"/>
        </w:rPr>
        <w:t xml:space="preserve">ι τους εργαζόμενους του ΕΟΠΥΥ. </w:t>
      </w:r>
      <w:r w:rsidRPr="00EA4B0C">
        <w:rPr>
          <w:rFonts w:asciiTheme="majorHAnsi" w:hAnsiTheme="majorHAnsi"/>
          <w:sz w:val="22"/>
          <w:lang w:val="el-GR"/>
        </w:rPr>
        <w:t>Ελάχιστα από όσα σας ανέφερα θα μπορούσ</w:t>
      </w:r>
      <w:r w:rsidR="00E17BC4">
        <w:rPr>
          <w:rFonts w:asciiTheme="majorHAnsi" w:hAnsiTheme="majorHAnsi"/>
          <w:sz w:val="22"/>
          <w:lang w:val="el-GR"/>
        </w:rPr>
        <w:t>αν να είχαν υλοποιηθεί χωρίς τη</w:t>
      </w:r>
      <w:r w:rsidRPr="00EA4B0C">
        <w:rPr>
          <w:rFonts w:asciiTheme="majorHAnsi" w:hAnsiTheme="majorHAnsi"/>
          <w:sz w:val="22"/>
          <w:lang w:val="el-GR"/>
        </w:rPr>
        <w:t xml:space="preserve"> δική τους συ</w:t>
      </w:r>
      <w:r w:rsidR="00E17BC4">
        <w:rPr>
          <w:rFonts w:asciiTheme="majorHAnsi" w:hAnsiTheme="majorHAnsi"/>
          <w:sz w:val="22"/>
          <w:lang w:val="el-GR"/>
        </w:rPr>
        <w:t xml:space="preserve">μβολή. </w:t>
      </w:r>
      <w:r w:rsidRPr="00EA4B0C">
        <w:rPr>
          <w:rFonts w:asciiTheme="majorHAnsi" w:hAnsiTheme="majorHAnsi"/>
          <w:sz w:val="22"/>
          <w:lang w:val="el-GR"/>
        </w:rPr>
        <w:t>Η μεγάλη πλειοψηφία δουλεύει με συνέπεια και πέραν των στενών τους υποχρεώσεων. Αρκετοί από αυτούς χρειάστηκε να δουλέψουν εκτός ωραρί</w:t>
      </w:r>
      <w:r w:rsidR="00E17BC4">
        <w:rPr>
          <w:rFonts w:asciiTheme="majorHAnsi" w:hAnsiTheme="majorHAnsi"/>
          <w:sz w:val="22"/>
          <w:lang w:val="el-GR"/>
        </w:rPr>
        <w:t>ου</w:t>
      </w:r>
      <w:r w:rsidR="00B45703">
        <w:rPr>
          <w:rFonts w:asciiTheme="majorHAnsi" w:hAnsiTheme="majorHAnsi"/>
          <w:sz w:val="22"/>
          <w:lang w:val="el-GR"/>
        </w:rPr>
        <w:t>, αρκετές φορές,</w:t>
      </w:r>
      <w:r w:rsidR="00E17BC4">
        <w:rPr>
          <w:rFonts w:asciiTheme="majorHAnsi" w:hAnsiTheme="majorHAnsi"/>
          <w:sz w:val="22"/>
          <w:lang w:val="el-GR"/>
        </w:rPr>
        <w:t xml:space="preserve"> και το έκαναν</w:t>
      </w:r>
      <w:r w:rsidR="00B45703">
        <w:rPr>
          <w:rFonts w:asciiTheme="majorHAnsi" w:hAnsiTheme="majorHAnsi"/>
          <w:sz w:val="22"/>
          <w:lang w:val="el-GR"/>
        </w:rPr>
        <w:t>, μάλιστα,</w:t>
      </w:r>
      <w:r w:rsidR="00E17BC4">
        <w:rPr>
          <w:rFonts w:asciiTheme="majorHAnsi" w:hAnsiTheme="majorHAnsi"/>
          <w:sz w:val="22"/>
          <w:lang w:val="el-GR"/>
        </w:rPr>
        <w:t xml:space="preserve"> αδιαμαρτύρητα, παρά τις σημαντικές μειώσεις στις</w:t>
      </w:r>
      <w:r w:rsidR="00E17BC4" w:rsidRPr="00EA4B0C">
        <w:rPr>
          <w:rFonts w:asciiTheme="majorHAnsi" w:hAnsiTheme="majorHAnsi"/>
          <w:sz w:val="22"/>
          <w:lang w:val="el-GR"/>
        </w:rPr>
        <w:t xml:space="preserve"> </w:t>
      </w:r>
      <w:r w:rsidR="00E17BC4">
        <w:rPr>
          <w:rFonts w:asciiTheme="majorHAnsi" w:hAnsiTheme="majorHAnsi"/>
          <w:sz w:val="22"/>
          <w:lang w:val="el-GR"/>
        </w:rPr>
        <w:t>αποδοχές τους</w:t>
      </w:r>
      <w:r w:rsidR="009C2DB1">
        <w:rPr>
          <w:rFonts w:asciiTheme="majorHAnsi" w:hAnsiTheme="majorHAnsi"/>
          <w:sz w:val="22"/>
          <w:lang w:val="el-GR"/>
        </w:rPr>
        <w:t>, αλλά και των συνεχών με</w:t>
      </w:r>
      <w:r w:rsidR="00F44FB7">
        <w:rPr>
          <w:rFonts w:asciiTheme="majorHAnsi" w:hAnsiTheme="majorHAnsi"/>
          <w:sz w:val="22"/>
          <w:lang w:val="el-GR"/>
        </w:rPr>
        <w:t>ταβολών στο ρόλο του Οργανισμού. Οι εργαζόμενοι του ΕΟΠΥΥ βίωσαν</w:t>
      </w:r>
      <w:r w:rsidR="009C2DB1">
        <w:rPr>
          <w:rFonts w:asciiTheme="majorHAnsi" w:hAnsiTheme="majorHAnsi"/>
          <w:sz w:val="22"/>
          <w:lang w:val="el-GR"/>
        </w:rPr>
        <w:t xml:space="preserve"> </w:t>
      </w:r>
      <w:r w:rsidR="00262818">
        <w:rPr>
          <w:rFonts w:asciiTheme="majorHAnsi" w:hAnsiTheme="majorHAnsi"/>
          <w:sz w:val="22"/>
          <w:lang w:val="el-GR"/>
        </w:rPr>
        <w:t>«τραυματικά» τη</w:t>
      </w:r>
      <w:r w:rsidR="00262818" w:rsidRPr="00EA4B0C">
        <w:rPr>
          <w:rFonts w:asciiTheme="majorHAnsi" w:hAnsiTheme="majorHAnsi"/>
          <w:sz w:val="22"/>
          <w:lang w:val="el-GR"/>
        </w:rPr>
        <w:t xml:space="preserve"> μεταρρύθμιση </w:t>
      </w:r>
      <w:r w:rsidR="00262818">
        <w:rPr>
          <w:rFonts w:asciiTheme="majorHAnsi" w:hAnsiTheme="majorHAnsi"/>
          <w:sz w:val="22"/>
          <w:lang w:val="el-GR"/>
        </w:rPr>
        <w:t xml:space="preserve">στην </w:t>
      </w:r>
      <w:r w:rsidR="009C2DB1">
        <w:rPr>
          <w:rFonts w:asciiTheme="majorHAnsi" w:hAnsiTheme="majorHAnsi"/>
          <w:sz w:val="22"/>
          <w:lang w:val="el-GR"/>
        </w:rPr>
        <w:t>ΠΦΥ</w:t>
      </w:r>
      <w:r w:rsidR="00262818">
        <w:rPr>
          <w:rFonts w:asciiTheme="majorHAnsi" w:hAnsiTheme="majorHAnsi"/>
          <w:sz w:val="22"/>
          <w:lang w:val="el-GR"/>
        </w:rPr>
        <w:t xml:space="preserve">, </w:t>
      </w:r>
      <w:r w:rsidR="009C2DB1">
        <w:rPr>
          <w:rFonts w:asciiTheme="majorHAnsi" w:hAnsiTheme="majorHAnsi"/>
          <w:sz w:val="22"/>
          <w:lang w:val="el-GR"/>
        </w:rPr>
        <w:t xml:space="preserve">με τη συνεπακόλουθη </w:t>
      </w:r>
      <w:r w:rsidR="00262818">
        <w:rPr>
          <w:rFonts w:asciiTheme="majorHAnsi" w:hAnsiTheme="majorHAnsi"/>
          <w:sz w:val="22"/>
          <w:lang w:val="el-GR"/>
        </w:rPr>
        <w:t xml:space="preserve">κινητικότητα και </w:t>
      </w:r>
      <w:r w:rsidR="009C2DB1">
        <w:rPr>
          <w:rFonts w:asciiTheme="majorHAnsi" w:hAnsiTheme="majorHAnsi"/>
          <w:sz w:val="22"/>
          <w:lang w:val="el-GR"/>
        </w:rPr>
        <w:t>διαθεσιμότητα, κ</w:t>
      </w:r>
      <w:r w:rsidR="00262818">
        <w:rPr>
          <w:rFonts w:asciiTheme="majorHAnsi" w:hAnsiTheme="majorHAnsi"/>
          <w:sz w:val="22"/>
          <w:lang w:val="el-GR"/>
        </w:rPr>
        <w:t xml:space="preserve">υρίως σε επίπεδο ψυχολογίας. </w:t>
      </w:r>
    </w:p>
    <w:p w14:paraId="2D642446" w14:textId="5C91F660" w:rsidR="00EA4B0C" w:rsidRDefault="009C2DB1" w:rsidP="00EA4B0C">
      <w:pPr>
        <w:spacing w:line="360" w:lineRule="auto"/>
        <w:jc w:val="both"/>
        <w:rPr>
          <w:rFonts w:asciiTheme="majorHAnsi" w:hAnsiTheme="majorHAnsi"/>
          <w:sz w:val="22"/>
          <w:lang w:val="el-GR"/>
        </w:rPr>
      </w:pPr>
      <w:r>
        <w:rPr>
          <w:rFonts w:asciiTheme="majorHAnsi" w:hAnsiTheme="majorHAnsi"/>
          <w:sz w:val="22"/>
          <w:lang w:val="el-GR"/>
        </w:rPr>
        <w:t xml:space="preserve">Ο ΕΟΠΥΥ σε μία κρίσιμη και </w:t>
      </w:r>
      <w:r w:rsidR="00F44FB7">
        <w:rPr>
          <w:rFonts w:asciiTheme="majorHAnsi" w:hAnsiTheme="majorHAnsi"/>
          <w:sz w:val="22"/>
          <w:lang w:val="el-GR"/>
        </w:rPr>
        <w:t>δυσμενή</w:t>
      </w:r>
      <w:r>
        <w:rPr>
          <w:rFonts w:asciiTheme="majorHAnsi" w:hAnsiTheme="majorHAnsi"/>
          <w:sz w:val="22"/>
          <w:lang w:val="el-GR"/>
        </w:rPr>
        <w:t xml:space="preserve"> συγκυρία, οικονομική και κοινωνική, με τις ιδέες των νεότερων και την εμπειρία των παλαιότερων, έχτισε γερά θεμέλια για τη μετεξέλιξή σε έναν ανοικτό, βιώσιμο και συνεπή Οργανισμό, ο οποίος βασίζει τις αποφάσεις του σε τεκμήρια και δεδομένα.</w:t>
      </w:r>
    </w:p>
    <w:p w14:paraId="646F2BED" w14:textId="23910E65" w:rsidR="00F44FB7" w:rsidRDefault="009C2DB1" w:rsidP="00A47A74">
      <w:pPr>
        <w:spacing w:line="360" w:lineRule="auto"/>
        <w:jc w:val="both"/>
        <w:rPr>
          <w:rFonts w:asciiTheme="majorHAnsi" w:hAnsiTheme="majorHAnsi"/>
          <w:sz w:val="22"/>
          <w:lang w:val="el-GR"/>
        </w:rPr>
      </w:pPr>
      <w:r>
        <w:rPr>
          <w:rFonts w:asciiTheme="majorHAnsi" w:hAnsiTheme="majorHAnsi"/>
          <w:sz w:val="22"/>
          <w:lang w:val="el-GR"/>
        </w:rPr>
        <w:t>Οι άνθρωποι</w:t>
      </w:r>
      <w:r w:rsidR="00262818">
        <w:rPr>
          <w:rFonts w:asciiTheme="majorHAnsi" w:hAnsiTheme="majorHAnsi"/>
          <w:sz w:val="22"/>
          <w:lang w:val="el-GR"/>
        </w:rPr>
        <w:t xml:space="preserve"> του ΕΟΠΥΥ</w:t>
      </w:r>
      <w:r>
        <w:rPr>
          <w:rFonts w:asciiTheme="majorHAnsi" w:hAnsiTheme="majorHAnsi"/>
          <w:sz w:val="22"/>
          <w:lang w:val="el-GR"/>
        </w:rPr>
        <w:t xml:space="preserve">, της ΚΥ και των Περιφερειακών Διευθύνσεων, επιβεβαίωσαν την πεποίθησή μου ότι, </w:t>
      </w:r>
      <w:r w:rsidR="00262818">
        <w:rPr>
          <w:rFonts w:asciiTheme="majorHAnsi" w:hAnsiTheme="majorHAnsi"/>
          <w:sz w:val="22"/>
          <w:lang w:val="el-GR"/>
        </w:rPr>
        <w:t>οι εργαζόμενοι στο δημόσιο τομέα δεν είναι μέρος του προβλήματος και της κρίσης, αλλά αντίθετα είναι μέρος της λύσης και της εξόδου από την κρίση. Αρκεί να τους εμπιστευόμαστε και να τους</w:t>
      </w:r>
      <w:r>
        <w:rPr>
          <w:rFonts w:asciiTheme="majorHAnsi" w:hAnsiTheme="majorHAnsi"/>
          <w:sz w:val="22"/>
          <w:lang w:val="el-GR"/>
        </w:rPr>
        <w:t xml:space="preserve"> στηρίζουμε.</w:t>
      </w:r>
      <w:r w:rsidR="00F44FB7">
        <w:rPr>
          <w:rFonts w:asciiTheme="majorHAnsi" w:hAnsiTheme="majorHAnsi"/>
          <w:sz w:val="22"/>
          <w:lang w:val="el-GR"/>
        </w:rPr>
        <w:br w:type="page"/>
      </w:r>
    </w:p>
    <w:p w14:paraId="31F3772C" w14:textId="77777777" w:rsidR="00F44FB7" w:rsidRPr="009C2DB1" w:rsidRDefault="00F44FB7" w:rsidP="009C2DB1">
      <w:pPr>
        <w:spacing w:line="360" w:lineRule="auto"/>
        <w:jc w:val="both"/>
        <w:rPr>
          <w:rFonts w:asciiTheme="majorHAnsi" w:hAnsiTheme="majorHAnsi"/>
          <w:sz w:val="22"/>
          <w:lang w:val="el-GR"/>
        </w:rPr>
      </w:pPr>
    </w:p>
    <w:p w14:paraId="0B3EA712" w14:textId="515AEAB7" w:rsidR="0068441D" w:rsidRPr="00827975" w:rsidRDefault="00EA4B0C" w:rsidP="00827975">
      <w:pPr>
        <w:pStyle w:val="a4"/>
        <w:shd w:val="clear" w:color="auto" w:fill="DBE5F1" w:themeFill="accent1" w:themeFillTint="33"/>
        <w:spacing w:before="120" w:after="120" w:line="360" w:lineRule="auto"/>
        <w:jc w:val="both"/>
        <w:rPr>
          <w:rFonts w:asciiTheme="majorHAnsi" w:hAnsiTheme="majorHAnsi"/>
          <w:b/>
          <w:color w:val="E36C0A" w:themeColor="accent6" w:themeShade="BF"/>
          <w:sz w:val="22"/>
          <w:lang w:val="el-GR"/>
        </w:rPr>
      </w:pPr>
      <w:r>
        <w:rPr>
          <w:rFonts w:asciiTheme="majorHAnsi" w:hAnsiTheme="majorHAnsi"/>
          <w:b/>
          <w:color w:val="E36C0A" w:themeColor="accent6" w:themeShade="BF"/>
          <w:sz w:val="22"/>
          <w:lang w:val="el-GR"/>
        </w:rPr>
        <w:t>Επίλογος</w:t>
      </w:r>
    </w:p>
    <w:p w14:paraId="4CDCAB8D" w14:textId="77777777" w:rsidR="00422ED6" w:rsidRPr="00422ED6" w:rsidRDefault="00422ED6" w:rsidP="00422ED6">
      <w:pPr>
        <w:spacing w:line="360" w:lineRule="auto"/>
        <w:jc w:val="both"/>
        <w:rPr>
          <w:rFonts w:asciiTheme="majorHAnsi" w:hAnsiTheme="majorHAnsi"/>
          <w:sz w:val="22"/>
          <w:lang w:val="el-GR"/>
        </w:rPr>
      </w:pPr>
    </w:p>
    <w:p w14:paraId="48AE20E1" w14:textId="2E6D203F" w:rsidR="00422ED6" w:rsidRPr="00422ED6" w:rsidRDefault="00285DC1" w:rsidP="00422ED6">
      <w:pPr>
        <w:spacing w:line="360" w:lineRule="auto"/>
        <w:jc w:val="both"/>
        <w:rPr>
          <w:rFonts w:asciiTheme="majorHAnsi" w:hAnsiTheme="majorHAnsi"/>
          <w:sz w:val="22"/>
          <w:lang w:val="el-GR"/>
        </w:rPr>
      </w:pPr>
      <w:r>
        <w:rPr>
          <w:rFonts w:asciiTheme="majorHAnsi" w:hAnsiTheme="majorHAnsi"/>
          <w:sz w:val="22"/>
          <w:lang w:val="el-GR"/>
        </w:rPr>
        <w:t>Η</w:t>
      </w:r>
      <w:r w:rsidR="00422ED6" w:rsidRPr="00422ED6">
        <w:rPr>
          <w:rFonts w:asciiTheme="majorHAnsi" w:hAnsiTheme="majorHAnsi"/>
          <w:sz w:val="22"/>
          <w:lang w:val="el-GR"/>
        </w:rPr>
        <w:t xml:space="preserve"> </w:t>
      </w:r>
      <w:r w:rsidR="00262818">
        <w:rPr>
          <w:rFonts w:asciiTheme="majorHAnsi" w:hAnsiTheme="majorHAnsi"/>
          <w:sz w:val="22"/>
          <w:lang w:val="el-GR"/>
        </w:rPr>
        <w:t>άρση των εμποδίων πρόσβασης των πολιτών</w:t>
      </w:r>
      <w:r>
        <w:rPr>
          <w:rFonts w:asciiTheme="majorHAnsi" w:hAnsiTheme="majorHAnsi"/>
          <w:sz w:val="22"/>
          <w:lang w:val="el-GR"/>
        </w:rPr>
        <w:t xml:space="preserve"> σε υπηρεσίες υγείας</w:t>
      </w:r>
      <w:r w:rsidR="00262818">
        <w:rPr>
          <w:rFonts w:asciiTheme="majorHAnsi" w:hAnsiTheme="majorHAnsi"/>
          <w:sz w:val="22"/>
          <w:lang w:val="el-GR"/>
        </w:rPr>
        <w:t>, η μείωση</w:t>
      </w:r>
      <w:r w:rsidR="00422ED6" w:rsidRPr="00422ED6">
        <w:rPr>
          <w:rFonts w:asciiTheme="majorHAnsi" w:hAnsiTheme="majorHAnsi"/>
          <w:sz w:val="22"/>
          <w:lang w:val="el-GR"/>
        </w:rPr>
        <w:t xml:space="preserve"> των ανισοτήτων και η </w:t>
      </w:r>
      <w:r w:rsidR="00262818">
        <w:rPr>
          <w:rFonts w:asciiTheme="majorHAnsi" w:hAnsiTheme="majorHAnsi"/>
          <w:sz w:val="22"/>
          <w:lang w:val="el-GR"/>
        </w:rPr>
        <w:t xml:space="preserve">κοινωνικά και οικονομικά δίκαιη κατανομή των </w:t>
      </w:r>
      <w:r>
        <w:rPr>
          <w:rFonts w:asciiTheme="majorHAnsi" w:hAnsiTheme="majorHAnsi"/>
          <w:sz w:val="22"/>
          <w:lang w:val="el-GR"/>
        </w:rPr>
        <w:t>ποσοστών συνασφάλισης, αποτελούν μείζονες προτεραιότητες του ΕΟΠΥΥ στον τομέα της παροχής υπηρεσιών υγείας.</w:t>
      </w:r>
    </w:p>
    <w:p w14:paraId="444CE4FB" w14:textId="4ADC8559" w:rsidR="007A31F7" w:rsidRPr="00422ED6" w:rsidRDefault="00262818" w:rsidP="00422ED6">
      <w:pPr>
        <w:spacing w:line="360" w:lineRule="auto"/>
        <w:jc w:val="both"/>
        <w:rPr>
          <w:rFonts w:asciiTheme="majorHAnsi" w:hAnsiTheme="majorHAnsi"/>
          <w:sz w:val="22"/>
          <w:lang w:val="el-GR"/>
        </w:rPr>
      </w:pPr>
      <w:r>
        <w:rPr>
          <w:rFonts w:asciiTheme="majorHAnsi" w:hAnsiTheme="majorHAnsi"/>
          <w:sz w:val="22"/>
          <w:lang w:val="el-GR"/>
        </w:rPr>
        <w:t xml:space="preserve">Η </w:t>
      </w:r>
      <w:r w:rsidR="00422ED6" w:rsidRPr="00422ED6">
        <w:rPr>
          <w:rFonts w:asciiTheme="majorHAnsi" w:hAnsiTheme="majorHAnsi"/>
          <w:sz w:val="22"/>
          <w:lang w:val="el-GR"/>
        </w:rPr>
        <w:t xml:space="preserve">μεταρρύθμιση του 2014 </w:t>
      </w:r>
      <w:r>
        <w:rPr>
          <w:rFonts w:asciiTheme="majorHAnsi" w:hAnsiTheme="majorHAnsi"/>
          <w:sz w:val="22"/>
          <w:lang w:val="el-GR"/>
        </w:rPr>
        <w:t>και η ανάδειξη του ΕΟΠΥΥ στον μεγάλο αγοραστή υπηρεσιών υγείας, κατόπιν του διαχωρισμού</w:t>
      </w:r>
      <w:r w:rsidR="00AB6FD9">
        <w:rPr>
          <w:rFonts w:asciiTheme="majorHAnsi" w:hAnsiTheme="majorHAnsi"/>
          <w:sz w:val="22"/>
          <w:lang w:val="el-GR"/>
        </w:rPr>
        <w:t xml:space="preserve"> των μονάδων υγείας από τον Οργανισμό</w:t>
      </w:r>
      <w:r w:rsidR="00422ED6" w:rsidRPr="00422ED6">
        <w:rPr>
          <w:rFonts w:asciiTheme="majorHAnsi" w:hAnsiTheme="majorHAnsi"/>
          <w:sz w:val="22"/>
          <w:lang w:val="el-GR"/>
        </w:rPr>
        <w:t xml:space="preserve"> και </w:t>
      </w:r>
      <w:r>
        <w:rPr>
          <w:rFonts w:asciiTheme="majorHAnsi" w:hAnsiTheme="majorHAnsi"/>
          <w:sz w:val="22"/>
          <w:lang w:val="el-GR"/>
        </w:rPr>
        <w:t xml:space="preserve">της σύστασης του </w:t>
      </w:r>
      <w:r w:rsidR="00422ED6" w:rsidRPr="00422ED6">
        <w:rPr>
          <w:rFonts w:asciiTheme="majorHAnsi" w:hAnsiTheme="majorHAnsi"/>
          <w:sz w:val="22"/>
          <w:lang w:val="el-GR"/>
        </w:rPr>
        <w:t xml:space="preserve"> Πρωτοβάθμιου Εθνικού Δικτύου</w:t>
      </w:r>
      <w:r w:rsidR="00C70D58">
        <w:rPr>
          <w:rFonts w:asciiTheme="majorHAnsi" w:hAnsiTheme="majorHAnsi"/>
          <w:sz w:val="22"/>
          <w:lang w:val="el-GR"/>
        </w:rPr>
        <w:t xml:space="preserve"> Υγείας</w:t>
      </w:r>
      <w:r w:rsidR="00422ED6" w:rsidRPr="00422ED6">
        <w:rPr>
          <w:rFonts w:asciiTheme="majorHAnsi" w:hAnsiTheme="majorHAnsi"/>
          <w:sz w:val="22"/>
          <w:lang w:val="el-GR"/>
        </w:rPr>
        <w:t xml:space="preserve"> (ΠΕΔΥ)</w:t>
      </w:r>
      <w:r>
        <w:rPr>
          <w:rFonts w:asciiTheme="majorHAnsi" w:hAnsiTheme="majorHAnsi"/>
          <w:sz w:val="22"/>
          <w:lang w:val="el-GR"/>
        </w:rPr>
        <w:t xml:space="preserve">, η </w:t>
      </w:r>
      <w:r w:rsidR="00422ED6" w:rsidRPr="00422ED6">
        <w:rPr>
          <w:rFonts w:asciiTheme="majorHAnsi" w:hAnsiTheme="majorHAnsi"/>
          <w:sz w:val="22"/>
          <w:lang w:val="el-GR"/>
        </w:rPr>
        <w:t xml:space="preserve">Πρωτοβάθμια Φροντίδα </w:t>
      </w:r>
      <w:r>
        <w:rPr>
          <w:rFonts w:asciiTheme="majorHAnsi" w:hAnsiTheme="majorHAnsi"/>
          <w:sz w:val="22"/>
          <w:lang w:val="el-GR"/>
        </w:rPr>
        <w:t xml:space="preserve">Υγείας (ΠΦΥ) </w:t>
      </w:r>
      <w:r w:rsidR="00422ED6" w:rsidRPr="00422ED6">
        <w:rPr>
          <w:rFonts w:asciiTheme="majorHAnsi" w:hAnsiTheme="majorHAnsi"/>
          <w:sz w:val="22"/>
          <w:lang w:val="el-GR"/>
        </w:rPr>
        <w:t>αφέθηκε χωρίς υποστήριξη</w:t>
      </w:r>
      <w:r>
        <w:rPr>
          <w:rFonts w:asciiTheme="majorHAnsi" w:hAnsiTheme="majorHAnsi"/>
          <w:sz w:val="22"/>
          <w:lang w:val="el-GR"/>
        </w:rPr>
        <w:t>,</w:t>
      </w:r>
      <w:r w:rsidR="00422ED6" w:rsidRPr="00422ED6">
        <w:rPr>
          <w:rFonts w:asciiTheme="majorHAnsi" w:hAnsiTheme="majorHAnsi"/>
          <w:sz w:val="22"/>
          <w:lang w:val="el-GR"/>
        </w:rPr>
        <w:t xml:space="preserve"> χωρίς σχέδιο, χωρίς μέσα.</w:t>
      </w:r>
      <w:r>
        <w:rPr>
          <w:rFonts w:asciiTheme="majorHAnsi" w:hAnsiTheme="majorHAnsi"/>
          <w:sz w:val="22"/>
          <w:lang w:val="el-GR"/>
        </w:rPr>
        <w:t xml:space="preserve"> Απόρροια της </w:t>
      </w:r>
      <w:r w:rsidR="00AB6FD9">
        <w:rPr>
          <w:rFonts w:asciiTheme="majorHAnsi" w:hAnsiTheme="majorHAnsi"/>
          <w:sz w:val="22"/>
          <w:lang w:val="el-GR"/>
        </w:rPr>
        <w:t>εγκατάλειψη</w:t>
      </w:r>
      <w:r>
        <w:rPr>
          <w:rFonts w:asciiTheme="majorHAnsi" w:hAnsiTheme="majorHAnsi"/>
          <w:sz w:val="22"/>
          <w:lang w:val="el-GR"/>
        </w:rPr>
        <w:t xml:space="preserve">ς αυτής </w:t>
      </w:r>
      <w:r w:rsidR="00AB6FD9">
        <w:rPr>
          <w:rFonts w:asciiTheme="majorHAnsi" w:hAnsiTheme="majorHAnsi"/>
          <w:sz w:val="22"/>
          <w:lang w:val="el-GR"/>
        </w:rPr>
        <w:t>ήταν</w:t>
      </w:r>
      <w:r>
        <w:rPr>
          <w:rFonts w:asciiTheme="majorHAnsi" w:hAnsiTheme="majorHAnsi"/>
          <w:sz w:val="22"/>
          <w:lang w:val="el-GR"/>
        </w:rPr>
        <w:t xml:space="preserve"> ο περιορισμός </w:t>
      </w:r>
      <w:r w:rsidR="00422ED6" w:rsidRPr="00422ED6">
        <w:rPr>
          <w:rFonts w:asciiTheme="majorHAnsi" w:hAnsiTheme="majorHAnsi"/>
          <w:sz w:val="22"/>
          <w:lang w:val="el-GR"/>
        </w:rPr>
        <w:t xml:space="preserve"> </w:t>
      </w:r>
      <w:r>
        <w:rPr>
          <w:rFonts w:asciiTheme="majorHAnsi" w:hAnsiTheme="majorHAnsi"/>
          <w:sz w:val="22"/>
          <w:lang w:val="el-GR"/>
        </w:rPr>
        <w:t>του όγκου</w:t>
      </w:r>
      <w:r w:rsidR="00422ED6" w:rsidRPr="00422ED6">
        <w:rPr>
          <w:rFonts w:asciiTheme="majorHAnsi" w:hAnsiTheme="majorHAnsi"/>
          <w:sz w:val="22"/>
          <w:lang w:val="el-GR"/>
        </w:rPr>
        <w:t xml:space="preserve"> των παραγόμενων υπηρεσιών</w:t>
      </w:r>
      <w:r w:rsidR="00A46E59">
        <w:rPr>
          <w:rFonts w:asciiTheme="majorHAnsi" w:hAnsiTheme="majorHAnsi"/>
          <w:sz w:val="22"/>
          <w:lang w:val="el-GR"/>
        </w:rPr>
        <w:t>,</w:t>
      </w:r>
      <w:r w:rsidR="00422ED6" w:rsidRPr="00422ED6">
        <w:rPr>
          <w:rFonts w:asciiTheme="majorHAnsi" w:hAnsiTheme="majorHAnsi"/>
          <w:sz w:val="22"/>
          <w:lang w:val="el-GR"/>
        </w:rPr>
        <w:t xml:space="preserve"> </w:t>
      </w:r>
      <w:r w:rsidR="00A46E59">
        <w:rPr>
          <w:rFonts w:asciiTheme="majorHAnsi" w:hAnsiTheme="majorHAnsi"/>
          <w:sz w:val="22"/>
          <w:lang w:val="el-GR"/>
        </w:rPr>
        <w:t xml:space="preserve">καθώς </w:t>
      </w:r>
      <w:r w:rsidR="00AB6FD9">
        <w:rPr>
          <w:rFonts w:asciiTheme="majorHAnsi" w:hAnsiTheme="majorHAnsi"/>
          <w:sz w:val="22"/>
          <w:lang w:val="el-GR"/>
        </w:rPr>
        <w:t>μειώθηκαν</w:t>
      </w:r>
      <w:r w:rsidR="00A46E59">
        <w:rPr>
          <w:rFonts w:asciiTheme="majorHAnsi" w:hAnsiTheme="majorHAnsi"/>
          <w:sz w:val="22"/>
          <w:lang w:val="el-GR"/>
        </w:rPr>
        <w:t xml:space="preserve"> δραματικά </w:t>
      </w:r>
      <w:r w:rsidR="00422ED6" w:rsidRPr="00422ED6">
        <w:rPr>
          <w:rFonts w:asciiTheme="majorHAnsi" w:hAnsiTheme="majorHAnsi"/>
          <w:sz w:val="22"/>
          <w:lang w:val="el-GR"/>
        </w:rPr>
        <w:t>οι υπηρεσίες που δίνονται στους πολίτες από τις Μονάδες Υγείας (επισκέψεις, διαγνωστικές εξετάσεις κ.λ.π.).</w:t>
      </w:r>
    </w:p>
    <w:p w14:paraId="2411867B" w14:textId="5FA90A82" w:rsidR="007A31F7" w:rsidRDefault="00422ED6" w:rsidP="007A31F7">
      <w:pPr>
        <w:spacing w:line="360" w:lineRule="auto"/>
        <w:jc w:val="both"/>
        <w:rPr>
          <w:rFonts w:asciiTheme="majorHAnsi" w:hAnsiTheme="majorHAnsi"/>
          <w:sz w:val="22"/>
          <w:lang w:val="el-GR"/>
        </w:rPr>
      </w:pPr>
      <w:r w:rsidRPr="00422ED6">
        <w:rPr>
          <w:rFonts w:asciiTheme="majorHAnsi" w:hAnsiTheme="majorHAnsi"/>
          <w:sz w:val="22"/>
          <w:lang w:val="el-GR"/>
        </w:rPr>
        <w:t xml:space="preserve">Η εξέλιξη αυτή </w:t>
      </w:r>
      <w:r w:rsidR="00A46E59">
        <w:rPr>
          <w:rFonts w:asciiTheme="majorHAnsi" w:hAnsiTheme="majorHAnsi"/>
          <w:sz w:val="22"/>
          <w:lang w:val="el-GR"/>
        </w:rPr>
        <w:t>είχε σαν αποτέλεσμα τη στροφή των πολιτών στις δομές δευτεροβάθμιας και τριτοβάθμιας περίθαλψης</w:t>
      </w:r>
      <w:r w:rsidRPr="00422ED6">
        <w:rPr>
          <w:rFonts w:asciiTheme="majorHAnsi" w:hAnsiTheme="majorHAnsi"/>
          <w:sz w:val="22"/>
          <w:lang w:val="el-GR"/>
        </w:rPr>
        <w:t xml:space="preserve"> </w:t>
      </w:r>
      <w:r w:rsidR="00A46E59">
        <w:rPr>
          <w:rFonts w:asciiTheme="majorHAnsi" w:hAnsiTheme="majorHAnsi"/>
          <w:sz w:val="22"/>
          <w:lang w:val="el-GR"/>
        </w:rPr>
        <w:t xml:space="preserve">και κατά συνέπεια την επιβάρυνση </w:t>
      </w:r>
      <w:r w:rsidRPr="00422ED6">
        <w:rPr>
          <w:rFonts w:asciiTheme="majorHAnsi" w:hAnsiTheme="majorHAnsi"/>
          <w:sz w:val="22"/>
          <w:lang w:val="el-GR"/>
        </w:rPr>
        <w:t>των</w:t>
      </w:r>
      <w:r w:rsidR="00A46E59">
        <w:rPr>
          <w:rFonts w:asciiTheme="majorHAnsi" w:hAnsiTheme="majorHAnsi"/>
          <w:sz w:val="22"/>
          <w:lang w:val="el-GR"/>
        </w:rPr>
        <w:t xml:space="preserve"> </w:t>
      </w:r>
      <w:r w:rsidR="00C70D58">
        <w:rPr>
          <w:rFonts w:asciiTheme="majorHAnsi" w:hAnsiTheme="majorHAnsi"/>
          <w:sz w:val="22"/>
          <w:lang w:val="el-GR"/>
        </w:rPr>
        <w:t xml:space="preserve">ήδη «νοσούντων» </w:t>
      </w:r>
      <w:r w:rsidR="00A46E59">
        <w:rPr>
          <w:rFonts w:asciiTheme="majorHAnsi" w:hAnsiTheme="majorHAnsi"/>
          <w:sz w:val="22"/>
          <w:lang w:val="el-GR"/>
        </w:rPr>
        <w:t xml:space="preserve">δημόσιων νοσοκομείων, ενώ στην προσπάθεια άρσης των εμποδίων πρόσβασης του δημόσιου συστήματος </w:t>
      </w:r>
      <w:r w:rsidR="00C70D58">
        <w:rPr>
          <w:rFonts w:asciiTheme="majorHAnsi" w:hAnsiTheme="majorHAnsi"/>
          <w:sz w:val="22"/>
          <w:lang w:val="el-GR"/>
        </w:rPr>
        <w:t xml:space="preserve">(χρόνος αναμονής, γεωγραφικές αποστάσεις) </w:t>
      </w:r>
      <w:r w:rsidR="00A46E59">
        <w:rPr>
          <w:rFonts w:asciiTheme="majorHAnsi" w:hAnsiTheme="majorHAnsi"/>
          <w:sz w:val="22"/>
          <w:lang w:val="el-GR"/>
        </w:rPr>
        <w:t xml:space="preserve">από μέρους των ασφαλισμένων, </w:t>
      </w:r>
      <w:r w:rsidR="00C70D58">
        <w:rPr>
          <w:rFonts w:asciiTheme="majorHAnsi" w:hAnsiTheme="majorHAnsi"/>
          <w:sz w:val="22"/>
          <w:lang w:val="el-GR"/>
        </w:rPr>
        <w:t>αυξήθηκε</w:t>
      </w:r>
      <w:r w:rsidRPr="00422ED6">
        <w:rPr>
          <w:rFonts w:asciiTheme="majorHAnsi" w:hAnsiTheme="majorHAnsi"/>
          <w:sz w:val="22"/>
          <w:lang w:val="el-GR"/>
        </w:rPr>
        <w:t xml:space="preserve"> </w:t>
      </w:r>
      <w:r w:rsidR="00A46E59">
        <w:rPr>
          <w:rFonts w:asciiTheme="majorHAnsi" w:hAnsiTheme="majorHAnsi"/>
          <w:sz w:val="22"/>
          <w:lang w:val="el-GR"/>
        </w:rPr>
        <w:t>η</w:t>
      </w:r>
      <w:r w:rsidRPr="00422ED6">
        <w:rPr>
          <w:rFonts w:asciiTheme="majorHAnsi" w:hAnsiTheme="majorHAnsi"/>
          <w:sz w:val="22"/>
          <w:lang w:val="el-GR"/>
        </w:rPr>
        <w:t xml:space="preserve"> ζήτηση </w:t>
      </w:r>
      <w:r w:rsidR="00A46E59">
        <w:rPr>
          <w:rFonts w:asciiTheme="majorHAnsi" w:hAnsiTheme="majorHAnsi"/>
          <w:sz w:val="22"/>
          <w:lang w:val="el-GR"/>
        </w:rPr>
        <w:t>υπηρεσιών</w:t>
      </w:r>
      <w:r w:rsidRPr="00422ED6">
        <w:rPr>
          <w:rFonts w:asciiTheme="majorHAnsi" w:hAnsiTheme="majorHAnsi"/>
          <w:sz w:val="22"/>
          <w:lang w:val="el-GR"/>
        </w:rPr>
        <w:t xml:space="preserve"> από τον ιδιωτικό τομέα (συμβεβλημένοι γιατροί, συμβεβλημένα εργαστήρια)</w:t>
      </w:r>
      <w:r w:rsidR="00A46E59">
        <w:rPr>
          <w:rFonts w:asciiTheme="majorHAnsi" w:hAnsiTheme="majorHAnsi"/>
          <w:sz w:val="22"/>
          <w:lang w:val="el-GR"/>
        </w:rPr>
        <w:t xml:space="preserve"> με συχνά καταστροφικ</w:t>
      </w:r>
      <w:r w:rsidR="007A31F7">
        <w:rPr>
          <w:rFonts w:asciiTheme="majorHAnsi" w:hAnsiTheme="majorHAnsi"/>
          <w:sz w:val="22"/>
          <w:lang w:val="el-GR"/>
        </w:rPr>
        <w:t xml:space="preserve">ές συνέπειες για τα νοικοκυριά. </w:t>
      </w:r>
      <w:r w:rsidRPr="00422ED6">
        <w:rPr>
          <w:rFonts w:asciiTheme="majorHAnsi" w:hAnsiTheme="majorHAnsi"/>
          <w:sz w:val="22"/>
          <w:lang w:val="el-GR"/>
        </w:rPr>
        <w:t xml:space="preserve">Παράλληλα η εφαρμογή </w:t>
      </w:r>
      <w:r w:rsidRPr="00422ED6">
        <w:rPr>
          <w:rFonts w:asciiTheme="majorHAnsi" w:hAnsiTheme="majorHAnsi"/>
          <w:sz w:val="22"/>
        </w:rPr>
        <w:t>clawback</w:t>
      </w:r>
      <w:r w:rsidRPr="00422ED6">
        <w:rPr>
          <w:rFonts w:asciiTheme="majorHAnsi" w:hAnsiTheme="majorHAnsi"/>
          <w:sz w:val="22"/>
          <w:lang w:val="el-GR"/>
        </w:rPr>
        <w:t xml:space="preserve"> και </w:t>
      </w:r>
      <w:r w:rsidRPr="00422ED6">
        <w:rPr>
          <w:rFonts w:asciiTheme="majorHAnsi" w:hAnsiTheme="majorHAnsi"/>
          <w:sz w:val="22"/>
        </w:rPr>
        <w:t>rebate</w:t>
      </w:r>
      <w:r w:rsidRPr="00422ED6">
        <w:rPr>
          <w:rFonts w:asciiTheme="majorHAnsi" w:hAnsiTheme="majorHAnsi"/>
          <w:sz w:val="22"/>
          <w:lang w:val="el-GR"/>
        </w:rPr>
        <w:t xml:space="preserve"> έδωσε άλλοθι για αυξημένε</w:t>
      </w:r>
      <w:r w:rsidR="007A31F7">
        <w:rPr>
          <w:rFonts w:asciiTheme="majorHAnsi" w:hAnsiTheme="majorHAnsi"/>
          <w:sz w:val="22"/>
          <w:lang w:val="el-GR"/>
        </w:rPr>
        <w:t xml:space="preserve">ς άτυπες πληρωμές συνασφάλισης. </w:t>
      </w:r>
      <w:r w:rsidRPr="00422ED6">
        <w:rPr>
          <w:rFonts w:asciiTheme="majorHAnsi" w:hAnsiTheme="majorHAnsi"/>
          <w:sz w:val="22"/>
          <w:lang w:val="el-GR"/>
        </w:rPr>
        <w:t xml:space="preserve">Στο ίδιο κλίμα </w:t>
      </w:r>
      <w:r w:rsidR="00144327">
        <w:rPr>
          <w:rFonts w:asciiTheme="majorHAnsi" w:hAnsiTheme="majorHAnsi"/>
          <w:sz w:val="22"/>
          <w:lang w:val="el-GR"/>
        </w:rPr>
        <w:t xml:space="preserve">κινήθηκε και </w:t>
      </w:r>
      <w:r w:rsidR="00C6496C">
        <w:rPr>
          <w:rFonts w:asciiTheme="majorHAnsi" w:hAnsiTheme="majorHAnsi"/>
          <w:sz w:val="22"/>
          <w:lang w:val="el-GR"/>
        </w:rPr>
        <w:t xml:space="preserve">η επιβάρυνση </w:t>
      </w:r>
      <w:r w:rsidR="00D601C7">
        <w:rPr>
          <w:rFonts w:asciiTheme="majorHAnsi" w:hAnsiTheme="majorHAnsi"/>
          <w:sz w:val="22"/>
          <w:lang w:val="el-GR"/>
        </w:rPr>
        <w:t xml:space="preserve">του ασφαλισμένου </w:t>
      </w:r>
      <w:r w:rsidR="00AE47B1">
        <w:rPr>
          <w:rFonts w:asciiTheme="majorHAnsi" w:hAnsiTheme="majorHAnsi"/>
          <w:sz w:val="22"/>
          <w:lang w:val="el-GR"/>
        </w:rPr>
        <w:t>στη</w:t>
      </w:r>
      <w:r w:rsidRPr="00422ED6">
        <w:rPr>
          <w:rFonts w:asciiTheme="majorHAnsi" w:hAnsiTheme="majorHAnsi"/>
          <w:sz w:val="22"/>
          <w:lang w:val="el-GR"/>
        </w:rPr>
        <w:t xml:space="preserve"> φαρμακευτική περίθαλψη, </w:t>
      </w:r>
      <w:r w:rsidR="00C6496C">
        <w:rPr>
          <w:rFonts w:asciiTheme="majorHAnsi" w:hAnsiTheme="majorHAnsi"/>
          <w:sz w:val="22"/>
          <w:lang w:val="el-GR"/>
        </w:rPr>
        <w:t>η οποία</w:t>
      </w:r>
      <w:r w:rsidR="00144327">
        <w:rPr>
          <w:rFonts w:asciiTheme="majorHAnsi" w:hAnsiTheme="majorHAnsi"/>
          <w:sz w:val="22"/>
          <w:lang w:val="el-GR"/>
        </w:rPr>
        <w:t xml:space="preserve"> υπολογίζεται περίπου στο </w:t>
      </w:r>
      <w:r w:rsidR="00D601C7">
        <w:rPr>
          <w:rFonts w:asciiTheme="majorHAnsi" w:hAnsiTheme="majorHAnsi"/>
          <w:sz w:val="22"/>
          <w:lang w:val="el-GR"/>
        </w:rPr>
        <w:t>27</w:t>
      </w:r>
      <w:r w:rsidRPr="00D601C7">
        <w:rPr>
          <w:rFonts w:asciiTheme="majorHAnsi" w:hAnsiTheme="majorHAnsi"/>
          <w:sz w:val="22"/>
          <w:lang w:val="el-GR"/>
        </w:rPr>
        <w:t>%</w:t>
      </w:r>
      <w:r w:rsidR="00D601C7">
        <w:rPr>
          <w:rFonts w:asciiTheme="majorHAnsi" w:hAnsiTheme="majorHAnsi"/>
          <w:sz w:val="22"/>
          <w:lang w:val="el-GR"/>
        </w:rPr>
        <w:t xml:space="preserve"> για το 2014 και </w:t>
      </w:r>
      <w:r w:rsidR="00C6496C">
        <w:rPr>
          <w:rFonts w:asciiTheme="majorHAnsi" w:hAnsiTheme="majorHAnsi"/>
          <w:sz w:val="22"/>
          <w:lang w:val="el-GR"/>
        </w:rPr>
        <w:t>στο 24% το 2015. Ωστόσο,</w:t>
      </w:r>
      <w:r w:rsidRPr="00422ED6">
        <w:rPr>
          <w:rFonts w:asciiTheme="majorHAnsi" w:hAnsiTheme="majorHAnsi"/>
          <w:sz w:val="22"/>
          <w:lang w:val="el-GR"/>
        </w:rPr>
        <w:t xml:space="preserve"> πρέπει να σημειωθεί, </w:t>
      </w:r>
      <w:r w:rsidR="00144327">
        <w:rPr>
          <w:rFonts w:asciiTheme="majorHAnsi" w:hAnsiTheme="majorHAnsi"/>
          <w:sz w:val="22"/>
          <w:lang w:val="el-GR"/>
        </w:rPr>
        <w:t>ότι το ποσοστό αυτό μειώνεται στο 19%</w:t>
      </w:r>
      <w:r w:rsidR="00C6496C">
        <w:rPr>
          <w:rFonts w:asciiTheme="majorHAnsi" w:hAnsiTheme="majorHAnsi"/>
          <w:sz w:val="22"/>
          <w:lang w:val="el-GR"/>
        </w:rPr>
        <w:t xml:space="preserve"> (στοιχεία 2014)</w:t>
      </w:r>
      <w:r w:rsidR="00144327">
        <w:rPr>
          <w:rFonts w:asciiTheme="majorHAnsi" w:hAnsiTheme="majorHAnsi"/>
          <w:sz w:val="22"/>
          <w:lang w:val="el-GR"/>
        </w:rPr>
        <w:t xml:space="preserve">, εφόσον ενσωματωθούν </w:t>
      </w:r>
      <w:r w:rsidR="00E0065B">
        <w:rPr>
          <w:rFonts w:asciiTheme="majorHAnsi" w:hAnsiTheme="majorHAnsi"/>
          <w:sz w:val="22"/>
          <w:lang w:val="el-GR"/>
        </w:rPr>
        <w:t>οι συνταγές των φαρμακείων του ΕΟΠΥΥ.</w:t>
      </w:r>
      <w:r w:rsidR="007A31F7" w:rsidRPr="007A31F7">
        <w:rPr>
          <w:rFonts w:asciiTheme="majorHAnsi" w:hAnsiTheme="majorHAnsi"/>
          <w:sz w:val="22"/>
          <w:lang w:val="el-GR"/>
        </w:rPr>
        <w:t xml:space="preserve"> </w:t>
      </w:r>
    </w:p>
    <w:p w14:paraId="321C5817" w14:textId="4CBA4140" w:rsidR="00422ED6" w:rsidRPr="00422ED6" w:rsidRDefault="007A31F7" w:rsidP="00422ED6">
      <w:pPr>
        <w:spacing w:line="360" w:lineRule="auto"/>
        <w:jc w:val="both"/>
        <w:rPr>
          <w:rFonts w:asciiTheme="majorHAnsi" w:hAnsiTheme="majorHAnsi"/>
          <w:sz w:val="22"/>
          <w:lang w:val="el-GR"/>
        </w:rPr>
      </w:pPr>
      <w:r>
        <w:rPr>
          <w:rFonts w:asciiTheme="majorHAnsi" w:hAnsiTheme="majorHAnsi"/>
          <w:sz w:val="22"/>
          <w:lang w:val="el-GR"/>
        </w:rPr>
        <w:t xml:space="preserve">Όλα τα ανωτέρω, οδήγησαν στην διόγκωση των εμποδίων </w:t>
      </w:r>
      <w:r w:rsidRPr="00422ED6">
        <w:rPr>
          <w:rFonts w:asciiTheme="majorHAnsi" w:hAnsiTheme="majorHAnsi"/>
          <w:sz w:val="22"/>
          <w:lang w:val="el-GR"/>
        </w:rPr>
        <w:t>για το</w:t>
      </w:r>
      <w:r>
        <w:rPr>
          <w:rFonts w:asciiTheme="majorHAnsi" w:hAnsiTheme="majorHAnsi"/>
          <w:sz w:val="22"/>
          <w:lang w:val="el-GR"/>
        </w:rPr>
        <w:t>υς</w:t>
      </w:r>
      <w:r w:rsidRPr="00422ED6">
        <w:rPr>
          <w:rFonts w:asciiTheme="majorHAnsi" w:hAnsiTheme="majorHAnsi"/>
          <w:sz w:val="22"/>
          <w:lang w:val="el-GR"/>
        </w:rPr>
        <w:t xml:space="preserve"> πλέον αδύναμο</w:t>
      </w:r>
      <w:r>
        <w:rPr>
          <w:rFonts w:asciiTheme="majorHAnsi" w:hAnsiTheme="majorHAnsi"/>
          <w:sz w:val="22"/>
          <w:lang w:val="el-GR"/>
        </w:rPr>
        <w:t xml:space="preserve">υς οικονομικά και στη </w:t>
      </w:r>
      <w:r w:rsidRPr="00422ED6">
        <w:rPr>
          <w:rFonts w:asciiTheme="majorHAnsi" w:hAnsiTheme="majorHAnsi"/>
          <w:sz w:val="22"/>
          <w:lang w:val="el-GR"/>
        </w:rPr>
        <w:t xml:space="preserve">διεύρυνση </w:t>
      </w:r>
      <w:r>
        <w:rPr>
          <w:rFonts w:asciiTheme="majorHAnsi" w:hAnsiTheme="majorHAnsi"/>
          <w:sz w:val="22"/>
          <w:lang w:val="el-GR"/>
        </w:rPr>
        <w:t xml:space="preserve">των κοινωνικών </w:t>
      </w:r>
      <w:r w:rsidRPr="00422ED6">
        <w:rPr>
          <w:rFonts w:asciiTheme="majorHAnsi" w:hAnsiTheme="majorHAnsi"/>
          <w:sz w:val="22"/>
          <w:lang w:val="el-GR"/>
        </w:rPr>
        <w:t xml:space="preserve">ανισοτήτων στο χώρο της </w:t>
      </w:r>
      <w:r>
        <w:rPr>
          <w:rFonts w:asciiTheme="majorHAnsi" w:hAnsiTheme="majorHAnsi"/>
          <w:sz w:val="22"/>
          <w:lang w:val="el-GR"/>
        </w:rPr>
        <w:t xml:space="preserve">υγείας. Μείζονος σπουδαιότητας και επείγουσα προτεραιότητα, αποτελεί </w:t>
      </w:r>
      <w:r w:rsidR="00422ED6" w:rsidRPr="00422ED6">
        <w:rPr>
          <w:rFonts w:asciiTheme="majorHAnsi" w:hAnsiTheme="majorHAnsi"/>
          <w:sz w:val="22"/>
          <w:lang w:val="el-GR"/>
        </w:rPr>
        <w:t xml:space="preserve">η ανασυγκρότηση της ΠΦΥ,  η στήριξη των Μονάδων Υγείας, η ενίσχυση </w:t>
      </w:r>
      <w:r>
        <w:rPr>
          <w:rFonts w:asciiTheme="majorHAnsi" w:hAnsiTheme="majorHAnsi"/>
          <w:sz w:val="22"/>
          <w:lang w:val="el-GR"/>
        </w:rPr>
        <w:t xml:space="preserve">τους </w:t>
      </w:r>
      <w:r w:rsidR="00422ED6" w:rsidRPr="00422ED6">
        <w:rPr>
          <w:rFonts w:asciiTheme="majorHAnsi" w:hAnsiTheme="majorHAnsi"/>
          <w:sz w:val="22"/>
          <w:lang w:val="el-GR"/>
        </w:rPr>
        <w:t>με προσωπικό</w:t>
      </w:r>
      <w:r>
        <w:rPr>
          <w:rFonts w:asciiTheme="majorHAnsi" w:hAnsiTheme="majorHAnsi"/>
          <w:sz w:val="22"/>
          <w:lang w:val="el-GR"/>
        </w:rPr>
        <w:t>,</w:t>
      </w:r>
      <w:r w:rsidR="00422ED6" w:rsidRPr="00422ED6">
        <w:rPr>
          <w:rFonts w:asciiTheme="majorHAnsi" w:hAnsiTheme="majorHAnsi"/>
          <w:sz w:val="22"/>
          <w:lang w:val="el-GR"/>
        </w:rPr>
        <w:t xml:space="preserve"> </w:t>
      </w:r>
      <w:r>
        <w:rPr>
          <w:rFonts w:asciiTheme="majorHAnsi" w:hAnsiTheme="majorHAnsi"/>
          <w:sz w:val="22"/>
          <w:lang w:val="el-GR"/>
        </w:rPr>
        <w:t xml:space="preserve">εξοπλισμό και αναλώσιμο </w:t>
      </w:r>
      <w:bookmarkStart w:id="0" w:name="_GoBack"/>
      <w:bookmarkEnd w:id="0"/>
      <w:r>
        <w:rPr>
          <w:rFonts w:asciiTheme="majorHAnsi" w:hAnsiTheme="majorHAnsi"/>
          <w:sz w:val="22"/>
          <w:lang w:val="el-GR"/>
        </w:rPr>
        <w:t>υλικό,</w:t>
      </w:r>
      <w:r w:rsidR="00422ED6" w:rsidRPr="00422ED6">
        <w:rPr>
          <w:rFonts w:asciiTheme="majorHAnsi" w:hAnsiTheme="majorHAnsi"/>
          <w:sz w:val="22"/>
          <w:lang w:val="el-GR"/>
        </w:rPr>
        <w:t xml:space="preserve"> έτσι ώστε να καλύπτουν ένα </w:t>
      </w:r>
      <w:r>
        <w:rPr>
          <w:rFonts w:asciiTheme="majorHAnsi" w:hAnsiTheme="majorHAnsi"/>
          <w:sz w:val="22"/>
          <w:lang w:val="el-GR"/>
        </w:rPr>
        <w:t xml:space="preserve">μέρος </w:t>
      </w:r>
      <w:r w:rsidR="00422ED6" w:rsidRPr="00422ED6">
        <w:rPr>
          <w:rFonts w:asciiTheme="majorHAnsi" w:hAnsiTheme="majorHAnsi"/>
          <w:sz w:val="22"/>
          <w:lang w:val="el-GR"/>
        </w:rPr>
        <w:t>των υπηρεσιών της ΠΦΥ</w:t>
      </w:r>
      <w:r>
        <w:rPr>
          <w:rFonts w:asciiTheme="majorHAnsi" w:hAnsiTheme="majorHAnsi"/>
          <w:sz w:val="22"/>
          <w:lang w:val="el-GR"/>
        </w:rPr>
        <w:t xml:space="preserve"> (</w:t>
      </w:r>
      <w:r w:rsidR="00363E19">
        <w:rPr>
          <w:rFonts w:asciiTheme="majorHAnsi" w:hAnsiTheme="majorHAnsi"/>
          <w:sz w:val="22"/>
          <w:lang w:val="el-GR"/>
        </w:rPr>
        <w:t xml:space="preserve">τουλάχιστον </w:t>
      </w:r>
      <w:r>
        <w:rPr>
          <w:rFonts w:asciiTheme="majorHAnsi" w:hAnsiTheme="majorHAnsi"/>
          <w:sz w:val="22"/>
          <w:lang w:val="el-GR"/>
        </w:rPr>
        <w:t>20-25%)</w:t>
      </w:r>
      <w:r w:rsidR="00422ED6" w:rsidRPr="00422ED6">
        <w:rPr>
          <w:rFonts w:asciiTheme="majorHAnsi" w:hAnsiTheme="majorHAnsi"/>
          <w:sz w:val="22"/>
          <w:lang w:val="el-GR"/>
        </w:rPr>
        <w:t>, ποσοστό ικανό για τις ανάγκ</w:t>
      </w:r>
      <w:r>
        <w:rPr>
          <w:rFonts w:asciiTheme="majorHAnsi" w:hAnsiTheme="majorHAnsi"/>
          <w:sz w:val="22"/>
          <w:lang w:val="el-GR"/>
        </w:rPr>
        <w:t>ες αυτών που δεν έχουν τη δυνατότητα</w:t>
      </w:r>
      <w:r w:rsidR="00422ED6" w:rsidRPr="00422ED6">
        <w:rPr>
          <w:rFonts w:asciiTheme="majorHAnsi" w:hAnsiTheme="majorHAnsi"/>
          <w:sz w:val="22"/>
          <w:lang w:val="el-GR"/>
        </w:rPr>
        <w:t xml:space="preserve"> πληρωμή</w:t>
      </w:r>
      <w:r>
        <w:rPr>
          <w:rFonts w:asciiTheme="majorHAnsi" w:hAnsiTheme="majorHAnsi"/>
          <w:sz w:val="22"/>
          <w:lang w:val="el-GR"/>
        </w:rPr>
        <w:t>ς</w:t>
      </w:r>
      <w:r w:rsidR="00422ED6" w:rsidRPr="00422ED6">
        <w:rPr>
          <w:rFonts w:asciiTheme="majorHAnsi" w:hAnsiTheme="majorHAnsi"/>
          <w:sz w:val="22"/>
          <w:lang w:val="el-GR"/>
        </w:rPr>
        <w:t xml:space="preserve"> συμμετοχής</w:t>
      </w:r>
      <w:r>
        <w:rPr>
          <w:rFonts w:asciiTheme="majorHAnsi" w:hAnsiTheme="majorHAnsi"/>
          <w:sz w:val="22"/>
          <w:lang w:val="el-GR"/>
        </w:rPr>
        <w:t>, ενώ συμπληρωματικά ο ΕΟΠΥΥ να</w:t>
      </w:r>
      <w:r w:rsidR="00422ED6" w:rsidRPr="00422ED6">
        <w:rPr>
          <w:rFonts w:asciiTheme="majorHAnsi" w:hAnsiTheme="majorHAnsi"/>
          <w:sz w:val="22"/>
          <w:lang w:val="el-GR"/>
        </w:rPr>
        <w:t xml:space="preserve"> αγοράζει και να διανέμει </w:t>
      </w:r>
      <w:r>
        <w:rPr>
          <w:rFonts w:asciiTheme="majorHAnsi" w:hAnsiTheme="majorHAnsi"/>
          <w:sz w:val="22"/>
          <w:lang w:val="el-GR"/>
        </w:rPr>
        <w:t>με βάση κριτήρια ποιότητας</w:t>
      </w:r>
      <w:r w:rsidR="00363E19">
        <w:rPr>
          <w:rFonts w:asciiTheme="majorHAnsi" w:hAnsiTheme="majorHAnsi"/>
          <w:sz w:val="22"/>
          <w:lang w:val="el-GR"/>
        </w:rPr>
        <w:t xml:space="preserve"> και ισότητας σε όλους τους πολίτες της χώρας</w:t>
      </w:r>
      <w:r>
        <w:rPr>
          <w:rFonts w:asciiTheme="majorHAnsi" w:hAnsiTheme="majorHAnsi"/>
          <w:sz w:val="22"/>
          <w:lang w:val="el-GR"/>
        </w:rPr>
        <w:t>.</w:t>
      </w:r>
      <w:r w:rsidR="00422ED6" w:rsidRPr="00422ED6">
        <w:rPr>
          <w:rFonts w:asciiTheme="majorHAnsi" w:hAnsiTheme="majorHAnsi"/>
          <w:sz w:val="22"/>
          <w:lang w:val="el-GR"/>
        </w:rPr>
        <w:t xml:space="preserve">           </w:t>
      </w:r>
    </w:p>
    <w:p w14:paraId="30FC3742" w14:textId="046C3DC1" w:rsidR="0068441D" w:rsidRPr="00422ED6" w:rsidRDefault="0068441D" w:rsidP="00422ED6">
      <w:pPr>
        <w:pStyle w:val="a4"/>
        <w:spacing w:before="120" w:after="120" w:line="360" w:lineRule="auto"/>
        <w:jc w:val="both"/>
        <w:rPr>
          <w:rFonts w:asciiTheme="majorHAnsi" w:hAnsiTheme="majorHAnsi"/>
          <w:sz w:val="22"/>
          <w:lang w:val="el-GR"/>
        </w:rPr>
      </w:pPr>
    </w:p>
    <w:sectPr w:rsidR="0068441D" w:rsidRPr="00422ED6" w:rsidSect="00766465">
      <w:footerReference w:type="even" r:id="rId12"/>
      <w:footerReference w:type="default" r:id="rId13"/>
      <w:pgSz w:w="11900" w:h="16840"/>
      <w:pgMar w:top="1440" w:right="158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64660" w14:textId="77777777" w:rsidR="00C25BDD" w:rsidRDefault="00C25BDD" w:rsidP="0068441D">
      <w:r>
        <w:separator/>
      </w:r>
    </w:p>
  </w:endnote>
  <w:endnote w:type="continuationSeparator" w:id="0">
    <w:p w14:paraId="53817FB1" w14:textId="77777777" w:rsidR="00C25BDD" w:rsidRDefault="00C25BDD" w:rsidP="0068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0219F" w14:textId="77777777" w:rsidR="00C14703" w:rsidRDefault="00C14703" w:rsidP="00D65D52">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1A951AC1" w14:textId="77777777" w:rsidR="00C14703" w:rsidRDefault="00C14703" w:rsidP="007C35F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96F2" w14:textId="77777777" w:rsidR="00C14703" w:rsidRDefault="00C14703" w:rsidP="00D65D52">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721DE">
      <w:rPr>
        <w:rStyle w:val="ad"/>
        <w:noProof/>
      </w:rPr>
      <w:t>33</w:t>
    </w:r>
    <w:r>
      <w:rPr>
        <w:rStyle w:val="ad"/>
      </w:rPr>
      <w:fldChar w:fldCharType="end"/>
    </w:r>
  </w:p>
  <w:p w14:paraId="07145C0A" w14:textId="77777777" w:rsidR="00C14703" w:rsidRDefault="00C14703" w:rsidP="007C35F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80751" w14:textId="77777777" w:rsidR="00C25BDD" w:rsidRDefault="00C25BDD" w:rsidP="0068441D">
      <w:r>
        <w:separator/>
      </w:r>
    </w:p>
  </w:footnote>
  <w:footnote w:type="continuationSeparator" w:id="0">
    <w:p w14:paraId="14850705" w14:textId="77777777" w:rsidR="00C25BDD" w:rsidRDefault="00C25BDD" w:rsidP="0068441D">
      <w:r>
        <w:continuationSeparator/>
      </w:r>
    </w:p>
  </w:footnote>
  <w:footnote w:id="1">
    <w:p w14:paraId="37009538" w14:textId="4F6588E4" w:rsidR="00C14703" w:rsidRPr="002D65ED" w:rsidRDefault="00C14703" w:rsidP="00103AAF">
      <w:pPr>
        <w:pStyle w:val="a5"/>
        <w:jc w:val="both"/>
        <w:rPr>
          <w:sz w:val="14"/>
          <w:lang w:val="el-GR"/>
        </w:rPr>
      </w:pPr>
      <w:r w:rsidRPr="002D65ED">
        <w:rPr>
          <w:rStyle w:val="a7"/>
          <w:sz w:val="14"/>
        </w:rPr>
        <w:footnoteRef/>
      </w:r>
      <w:r w:rsidRPr="002D65ED">
        <w:rPr>
          <w:sz w:val="14"/>
          <w:lang w:val="el-GR"/>
        </w:rPr>
        <w:t xml:space="preserve"> Αφορά υποβληθείσες δαπάνες.</w:t>
      </w:r>
    </w:p>
  </w:footnote>
  <w:footnote w:id="2">
    <w:p w14:paraId="381B96B6" w14:textId="3153360D" w:rsidR="00C14703" w:rsidRPr="002D65ED" w:rsidRDefault="00C14703" w:rsidP="00103AAF">
      <w:pPr>
        <w:pStyle w:val="a5"/>
        <w:jc w:val="both"/>
        <w:rPr>
          <w:sz w:val="16"/>
          <w:lang w:val="el-GR"/>
        </w:rPr>
      </w:pPr>
      <w:r w:rsidRPr="002D65ED">
        <w:rPr>
          <w:rStyle w:val="a7"/>
          <w:sz w:val="14"/>
        </w:rPr>
        <w:footnoteRef/>
      </w:r>
      <w:r w:rsidRPr="002D65ED">
        <w:rPr>
          <w:sz w:val="14"/>
          <w:lang w:val="el-GR"/>
        </w:rPr>
        <w:t xml:space="preserve"> Κωδικός ιατρικής πράξης: 500000042, 500000043, 500000044, 500000045, 500000046, 500000047, 500000049, 500000057.</w:t>
      </w:r>
    </w:p>
  </w:footnote>
  <w:footnote w:id="3">
    <w:p w14:paraId="4006E31D" w14:textId="75C5110F" w:rsidR="002D65ED" w:rsidRPr="002D65ED" w:rsidRDefault="002D65ED">
      <w:pPr>
        <w:pStyle w:val="a5"/>
        <w:rPr>
          <w:sz w:val="16"/>
          <w:lang w:val="el-GR"/>
        </w:rPr>
      </w:pPr>
      <w:r w:rsidRPr="002D65ED">
        <w:rPr>
          <w:rStyle w:val="a7"/>
          <w:sz w:val="16"/>
        </w:rPr>
        <w:footnoteRef/>
      </w:r>
      <w:r w:rsidRPr="002D65ED">
        <w:rPr>
          <w:sz w:val="16"/>
          <w:lang w:val="el-GR"/>
        </w:rPr>
        <w:t xml:space="preserve"> Αφορά σε Γενικά Νοσοκομεία, Ψυχιατρικά Νοσοκομεία, Νοσοκομεία Ειδικού Καθεστώτος και Νοσοκομεία Ιδιωτικού Δικαίου.</w:t>
      </w:r>
    </w:p>
  </w:footnote>
  <w:footnote w:id="4">
    <w:p w14:paraId="01A92A76" w14:textId="1BFE4DCA" w:rsidR="00103AAF" w:rsidRPr="002D65ED" w:rsidRDefault="00103AAF" w:rsidP="00103AAF">
      <w:pPr>
        <w:pStyle w:val="a5"/>
        <w:jc w:val="both"/>
        <w:rPr>
          <w:sz w:val="16"/>
          <w:lang w:val="el-GR"/>
        </w:rPr>
      </w:pPr>
      <w:r w:rsidRPr="002D65ED">
        <w:rPr>
          <w:rStyle w:val="a7"/>
          <w:sz w:val="16"/>
        </w:rPr>
        <w:footnoteRef/>
      </w:r>
      <w:r w:rsidRPr="002D65ED">
        <w:rPr>
          <w:sz w:val="16"/>
          <w:lang w:val="el-GR"/>
        </w:rPr>
        <w:t xml:space="preserve"> Αφορά Ιδιωτικές κλινικές μη </w:t>
      </w:r>
      <w:r w:rsidR="002D65ED" w:rsidRPr="002D65ED">
        <w:rPr>
          <w:sz w:val="16"/>
          <w:lang w:val="el-GR"/>
        </w:rPr>
        <w:t>κερδοσκοπικές</w:t>
      </w:r>
      <w:r w:rsidRPr="002D65ED">
        <w:rPr>
          <w:sz w:val="16"/>
          <w:lang w:val="el-GR"/>
        </w:rPr>
        <w:t>, ιδιωτικές κλινικές μη κερδοσκοπικές (άνευ κρατήσεων), κερδοσκοπικές ιδιωτικές κλινικές, ιδιωτικές ψυχιατρικές, κλινικές χρονίων παθήσεων ,ιδιωτικά κέντρα αποκατάστασης και αποθεραπείας.</w:t>
      </w:r>
    </w:p>
  </w:footnote>
  <w:footnote w:id="5">
    <w:p w14:paraId="1C12C1A4" w14:textId="50BE586D" w:rsidR="00C14703" w:rsidRPr="002D65ED" w:rsidRDefault="00C14703" w:rsidP="00103AAF">
      <w:pPr>
        <w:pStyle w:val="a5"/>
        <w:jc w:val="both"/>
        <w:rPr>
          <w:sz w:val="16"/>
          <w:lang w:val="el-GR"/>
        </w:rPr>
      </w:pPr>
      <w:r w:rsidRPr="002D65ED">
        <w:rPr>
          <w:rStyle w:val="a7"/>
          <w:sz w:val="16"/>
        </w:rPr>
        <w:footnoteRef/>
      </w:r>
      <w:r w:rsidRPr="002D65ED">
        <w:rPr>
          <w:sz w:val="16"/>
          <w:lang w:val="el-GR"/>
        </w:rPr>
        <w:t xml:space="preserve"> Αφορά ιδιωτικά φαρμακεία.</w:t>
      </w:r>
    </w:p>
  </w:footnote>
  <w:footnote w:id="6">
    <w:p w14:paraId="0AF84964" w14:textId="42C9BF58" w:rsidR="00C14703" w:rsidRPr="00C14703" w:rsidRDefault="00C14703" w:rsidP="00103AAF">
      <w:pPr>
        <w:pStyle w:val="a5"/>
        <w:jc w:val="both"/>
        <w:rPr>
          <w:lang w:val="el-GR"/>
        </w:rPr>
      </w:pPr>
      <w:r w:rsidRPr="002D65ED">
        <w:rPr>
          <w:rStyle w:val="a7"/>
          <w:sz w:val="16"/>
        </w:rPr>
        <w:footnoteRef/>
      </w:r>
      <w:r w:rsidRPr="002D65ED">
        <w:rPr>
          <w:sz w:val="16"/>
          <w:lang w:val="el-GR"/>
        </w:rPr>
        <w:t xml:space="preserve"> Αφορά ιδιωτικά φαρμακεία.</w:t>
      </w:r>
    </w:p>
  </w:footnote>
  <w:footnote w:id="7">
    <w:p w14:paraId="1D9EF41C" w14:textId="77777777" w:rsidR="00C14703" w:rsidRPr="002D65ED" w:rsidRDefault="00C14703" w:rsidP="00C14703">
      <w:pPr>
        <w:pStyle w:val="a5"/>
        <w:rPr>
          <w:sz w:val="16"/>
          <w:szCs w:val="16"/>
          <w:lang w:val="el-GR"/>
        </w:rPr>
      </w:pPr>
      <w:r w:rsidRPr="002D65ED">
        <w:rPr>
          <w:rStyle w:val="a7"/>
          <w:sz w:val="16"/>
          <w:szCs w:val="16"/>
        </w:rPr>
        <w:footnoteRef/>
      </w:r>
      <w:r w:rsidRPr="002D65ED">
        <w:rPr>
          <w:sz w:val="16"/>
          <w:szCs w:val="16"/>
          <w:lang w:val="el-GR"/>
        </w:rPr>
        <w:t xml:space="preserve"> Αφορά υποβληθείσες δαπάνες.</w:t>
      </w:r>
    </w:p>
  </w:footnote>
  <w:footnote w:id="8">
    <w:p w14:paraId="1FA1176E" w14:textId="77777777" w:rsidR="00C14703" w:rsidRPr="002D65ED" w:rsidRDefault="00C14703" w:rsidP="00C14703">
      <w:pPr>
        <w:pStyle w:val="a5"/>
        <w:rPr>
          <w:sz w:val="16"/>
          <w:szCs w:val="16"/>
          <w:lang w:val="el-GR"/>
        </w:rPr>
      </w:pPr>
      <w:r w:rsidRPr="002D65ED">
        <w:rPr>
          <w:rStyle w:val="a7"/>
          <w:sz w:val="16"/>
          <w:szCs w:val="16"/>
        </w:rPr>
        <w:footnoteRef/>
      </w:r>
      <w:r w:rsidRPr="002D65ED">
        <w:rPr>
          <w:sz w:val="16"/>
          <w:szCs w:val="16"/>
          <w:lang w:val="el-GR"/>
        </w:rPr>
        <w:t xml:space="preserve"> Κωδικός ιατρικής πράξης: 500000042, 500000043, 500000044, 500000045, 500000046, 500000047, 500000049, 500000057</w:t>
      </w:r>
    </w:p>
  </w:footnote>
  <w:footnote w:id="9">
    <w:p w14:paraId="702414EE" w14:textId="77777777" w:rsidR="002D65ED" w:rsidRPr="002D65ED" w:rsidRDefault="002D65ED" w:rsidP="002D65ED">
      <w:pPr>
        <w:pStyle w:val="a5"/>
        <w:rPr>
          <w:sz w:val="16"/>
          <w:szCs w:val="16"/>
          <w:lang w:val="el-GR"/>
        </w:rPr>
      </w:pPr>
      <w:r w:rsidRPr="002D65ED">
        <w:rPr>
          <w:rStyle w:val="a7"/>
          <w:sz w:val="16"/>
          <w:szCs w:val="16"/>
        </w:rPr>
        <w:footnoteRef/>
      </w:r>
      <w:r w:rsidRPr="002D65ED">
        <w:rPr>
          <w:sz w:val="16"/>
          <w:szCs w:val="16"/>
          <w:lang w:val="el-GR"/>
        </w:rPr>
        <w:t xml:space="preserve"> Αφορά σε Γενικά Νοσοκομεία, Ψυχιατρικά Νοσοκομεία, Νοσοκομεία Ειδικού Καθεστώτος και Νοσοκομεία Ιδιωτικού Δικαίου.</w:t>
      </w:r>
    </w:p>
  </w:footnote>
  <w:footnote w:id="10">
    <w:p w14:paraId="4443301B" w14:textId="5C56EE6D" w:rsidR="002D65ED" w:rsidRPr="002D65ED" w:rsidRDefault="002D65ED">
      <w:pPr>
        <w:pStyle w:val="a5"/>
        <w:rPr>
          <w:sz w:val="16"/>
          <w:szCs w:val="16"/>
          <w:lang w:val="el-GR"/>
        </w:rPr>
      </w:pPr>
      <w:r w:rsidRPr="002D65ED">
        <w:rPr>
          <w:rStyle w:val="a7"/>
          <w:sz w:val="16"/>
          <w:szCs w:val="16"/>
        </w:rPr>
        <w:footnoteRef/>
      </w:r>
      <w:r w:rsidRPr="002D65ED">
        <w:rPr>
          <w:sz w:val="16"/>
          <w:szCs w:val="16"/>
          <w:lang w:val="el-GR"/>
        </w:rPr>
        <w:t xml:space="preserve"> Τα στοιχεία αφορούν μέχρι το Σεπτέμβριο του 2015.</w:t>
      </w:r>
    </w:p>
  </w:footnote>
  <w:footnote w:id="11">
    <w:p w14:paraId="0325346E" w14:textId="77777777" w:rsidR="00103AAF" w:rsidRPr="002D65ED" w:rsidRDefault="00103AAF" w:rsidP="00103AAF">
      <w:pPr>
        <w:pStyle w:val="a5"/>
        <w:jc w:val="both"/>
        <w:rPr>
          <w:sz w:val="16"/>
          <w:szCs w:val="16"/>
          <w:lang w:val="el-GR"/>
        </w:rPr>
      </w:pPr>
      <w:r w:rsidRPr="002D65ED">
        <w:rPr>
          <w:rStyle w:val="a7"/>
          <w:sz w:val="16"/>
          <w:szCs w:val="16"/>
        </w:rPr>
        <w:footnoteRef/>
      </w:r>
      <w:r w:rsidRPr="002D65ED">
        <w:rPr>
          <w:sz w:val="16"/>
          <w:szCs w:val="16"/>
          <w:lang w:val="el-GR"/>
        </w:rPr>
        <w:t xml:space="preserve"> Αφορά Ιδιωτικές κλινικές μη </w:t>
      </w:r>
      <w:proofErr w:type="spellStart"/>
      <w:r w:rsidRPr="002D65ED">
        <w:rPr>
          <w:sz w:val="16"/>
          <w:szCs w:val="16"/>
          <w:lang w:val="el-GR"/>
        </w:rPr>
        <w:t>κερδοκοπικές</w:t>
      </w:r>
      <w:proofErr w:type="spellEnd"/>
      <w:r w:rsidRPr="002D65ED">
        <w:rPr>
          <w:sz w:val="16"/>
          <w:szCs w:val="16"/>
          <w:lang w:val="el-GR"/>
        </w:rPr>
        <w:t>, ιδιωτικές κλινικές μη κερδοσκοπικές (άνευ κρατήσεων), κερδοσκοπικές ιδιωτικές κλινικές, ιδιωτικές ψυχιατρικές, κλινικές χρονίων παθήσεων ,ιδιωτικά κέντρα αποκατάστασης και αποθεραπείας.</w:t>
      </w:r>
    </w:p>
  </w:footnote>
  <w:footnote w:id="12">
    <w:p w14:paraId="6DEE438E" w14:textId="77777777" w:rsidR="00645377" w:rsidRPr="002D65ED" w:rsidRDefault="00645377" w:rsidP="00645377">
      <w:pPr>
        <w:pStyle w:val="a5"/>
        <w:rPr>
          <w:sz w:val="16"/>
          <w:szCs w:val="16"/>
          <w:lang w:val="el-GR"/>
        </w:rPr>
      </w:pPr>
      <w:r w:rsidRPr="002D65ED">
        <w:rPr>
          <w:rStyle w:val="a7"/>
          <w:sz w:val="16"/>
          <w:szCs w:val="16"/>
        </w:rPr>
        <w:footnoteRef/>
      </w:r>
      <w:r w:rsidRPr="002D65ED">
        <w:rPr>
          <w:sz w:val="16"/>
          <w:szCs w:val="16"/>
          <w:lang w:val="el-GR"/>
        </w:rPr>
        <w:t xml:space="preserve"> Αφορά ιδιωτικά φαρμακεία.</w:t>
      </w:r>
    </w:p>
  </w:footnote>
  <w:footnote w:id="13">
    <w:p w14:paraId="7E45F4FB" w14:textId="77777777" w:rsidR="00645377" w:rsidRPr="00C14703" w:rsidRDefault="00645377" w:rsidP="00645377">
      <w:pPr>
        <w:pStyle w:val="a5"/>
        <w:rPr>
          <w:lang w:val="el-GR"/>
        </w:rPr>
      </w:pPr>
      <w:r w:rsidRPr="002D65ED">
        <w:rPr>
          <w:rStyle w:val="a7"/>
          <w:sz w:val="16"/>
          <w:szCs w:val="16"/>
        </w:rPr>
        <w:footnoteRef/>
      </w:r>
      <w:r w:rsidRPr="002D65ED">
        <w:rPr>
          <w:sz w:val="16"/>
          <w:szCs w:val="16"/>
          <w:lang w:val="el-GR"/>
        </w:rPr>
        <w:t xml:space="preserve"> Αφορά ιδιωτικά φαρμακεία.</w:t>
      </w:r>
    </w:p>
  </w:footnote>
  <w:footnote w:id="14">
    <w:p w14:paraId="2BEA03AC" w14:textId="77777777" w:rsidR="00C14703" w:rsidRPr="007D4A4F" w:rsidRDefault="00C14703" w:rsidP="007D4A4F">
      <w:pPr>
        <w:rPr>
          <w:rFonts w:ascii="Calibri" w:eastAsia="Times New Roman" w:hAnsi="Calibri" w:cs="Times New Roman"/>
          <w:color w:val="000000"/>
          <w:lang w:val="el-GR" w:eastAsia="el-GR"/>
        </w:rPr>
      </w:pPr>
      <w:r>
        <w:rPr>
          <w:rStyle w:val="a7"/>
        </w:rPr>
        <w:footnoteRef/>
      </w:r>
      <w:r w:rsidRPr="007D4A4F">
        <w:rPr>
          <w:lang w:val="el-GR"/>
        </w:rPr>
        <w:t xml:space="preserve">  Ως συνολική προκαλούμενη δαπάνη των διαγνωστικών εξετάσεων λαμβάνονται υπόψη τα </w:t>
      </w:r>
      <w:r w:rsidRPr="007D4A4F">
        <w:rPr>
          <w:rFonts w:ascii="Calibri" w:eastAsia="Times New Roman" w:hAnsi="Calibri" w:cs="Times New Roman"/>
          <w:color w:val="000000"/>
          <w:lang w:val="el-GR" w:eastAsia="el-GR"/>
        </w:rPr>
        <w:t>601.615.085,2 ευρώ που αφορούν και τις τρεις κατηγορίες παρόχων.</w:t>
      </w:r>
    </w:p>
    <w:p w14:paraId="4B9B960E" w14:textId="77777777" w:rsidR="00C14703" w:rsidRPr="007D4A4F" w:rsidRDefault="00C14703" w:rsidP="007D4A4F">
      <w:pPr>
        <w:pStyle w:val="a5"/>
        <w:rPr>
          <w:lang w:val="el-GR"/>
        </w:rPr>
      </w:pPr>
    </w:p>
  </w:footnote>
  <w:footnote w:id="15">
    <w:p w14:paraId="2960E18C" w14:textId="507FD322" w:rsidR="00C14703" w:rsidRPr="002F6EE7" w:rsidRDefault="00C14703">
      <w:pPr>
        <w:pStyle w:val="a5"/>
        <w:rPr>
          <w:lang w:val="el-GR"/>
        </w:rPr>
      </w:pPr>
      <w:r w:rsidRPr="002F6EE7">
        <w:rPr>
          <w:rStyle w:val="a7"/>
          <w:sz w:val="16"/>
        </w:rPr>
        <w:footnoteRef/>
      </w:r>
      <w:r w:rsidRPr="00C14703">
        <w:rPr>
          <w:sz w:val="16"/>
          <w:lang w:val="el-GR"/>
        </w:rPr>
        <w:t xml:space="preserve"> </w:t>
      </w:r>
      <w:r w:rsidRPr="002F6EE7">
        <w:rPr>
          <w:sz w:val="16"/>
          <w:lang w:val="el-GR"/>
        </w:rPr>
        <w:t xml:space="preserve">Από τον </w:t>
      </w:r>
      <w:proofErr w:type="spellStart"/>
      <w:r w:rsidRPr="002F6EE7">
        <w:rPr>
          <w:sz w:val="16"/>
          <w:lang w:val="el-GR"/>
        </w:rPr>
        <w:t>Μάϊο</w:t>
      </w:r>
      <w:proofErr w:type="spellEnd"/>
      <w:r w:rsidRPr="002F6EE7">
        <w:rPr>
          <w:sz w:val="16"/>
          <w:lang w:val="el-GR"/>
        </w:rPr>
        <w:t xml:space="preserve"> του </w:t>
      </w:r>
      <w:r>
        <w:rPr>
          <w:sz w:val="16"/>
          <w:lang w:val="el-GR"/>
        </w:rPr>
        <w:t>2014, προωθούνται οι υποθέσεις για επιβολή κυρώσεων στην ΥΠΕΔΥΦΚΑ.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775"/>
    <w:multiLevelType w:val="hybridMultilevel"/>
    <w:tmpl w:val="BC687048"/>
    <w:lvl w:ilvl="0" w:tplc="F9AA8F46">
      <w:start w:val="1"/>
      <w:numFmt w:val="bullet"/>
      <w:lvlText w:val="•"/>
      <w:lvlJc w:val="left"/>
      <w:pPr>
        <w:tabs>
          <w:tab w:val="num" w:pos="720"/>
        </w:tabs>
        <w:ind w:left="720" w:hanging="360"/>
      </w:pPr>
      <w:rPr>
        <w:rFonts w:ascii="Arial" w:hAnsi="Arial" w:hint="default"/>
      </w:rPr>
    </w:lvl>
    <w:lvl w:ilvl="1" w:tplc="D7C68138" w:tentative="1">
      <w:start w:val="1"/>
      <w:numFmt w:val="bullet"/>
      <w:lvlText w:val="•"/>
      <w:lvlJc w:val="left"/>
      <w:pPr>
        <w:tabs>
          <w:tab w:val="num" w:pos="1440"/>
        </w:tabs>
        <w:ind w:left="1440" w:hanging="360"/>
      </w:pPr>
      <w:rPr>
        <w:rFonts w:ascii="Arial" w:hAnsi="Arial" w:hint="default"/>
      </w:rPr>
    </w:lvl>
    <w:lvl w:ilvl="2" w:tplc="D2CA0624" w:tentative="1">
      <w:start w:val="1"/>
      <w:numFmt w:val="bullet"/>
      <w:lvlText w:val="•"/>
      <w:lvlJc w:val="left"/>
      <w:pPr>
        <w:tabs>
          <w:tab w:val="num" w:pos="2160"/>
        </w:tabs>
        <w:ind w:left="2160" w:hanging="360"/>
      </w:pPr>
      <w:rPr>
        <w:rFonts w:ascii="Arial" w:hAnsi="Arial" w:hint="default"/>
      </w:rPr>
    </w:lvl>
    <w:lvl w:ilvl="3" w:tplc="082CDB2C" w:tentative="1">
      <w:start w:val="1"/>
      <w:numFmt w:val="bullet"/>
      <w:lvlText w:val="•"/>
      <w:lvlJc w:val="left"/>
      <w:pPr>
        <w:tabs>
          <w:tab w:val="num" w:pos="2880"/>
        </w:tabs>
        <w:ind w:left="2880" w:hanging="360"/>
      </w:pPr>
      <w:rPr>
        <w:rFonts w:ascii="Arial" w:hAnsi="Arial" w:hint="default"/>
      </w:rPr>
    </w:lvl>
    <w:lvl w:ilvl="4" w:tplc="E9563AD8" w:tentative="1">
      <w:start w:val="1"/>
      <w:numFmt w:val="bullet"/>
      <w:lvlText w:val="•"/>
      <w:lvlJc w:val="left"/>
      <w:pPr>
        <w:tabs>
          <w:tab w:val="num" w:pos="3600"/>
        </w:tabs>
        <w:ind w:left="3600" w:hanging="360"/>
      </w:pPr>
      <w:rPr>
        <w:rFonts w:ascii="Arial" w:hAnsi="Arial" w:hint="default"/>
      </w:rPr>
    </w:lvl>
    <w:lvl w:ilvl="5" w:tplc="CDB67D18" w:tentative="1">
      <w:start w:val="1"/>
      <w:numFmt w:val="bullet"/>
      <w:lvlText w:val="•"/>
      <w:lvlJc w:val="left"/>
      <w:pPr>
        <w:tabs>
          <w:tab w:val="num" w:pos="4320"/>
        </w:tabs>
        <w:ind w:left="4320" w:hanging="360"/>
      </w:pPr>
      <w:rPr>
        <w:rFonts w:ascii="Arial" w:hAnsi="Arial" w:hint="default"/>
      </w:rPr>
    </w:lvl>
    <w:lvl w:ilvl="6" w:tplc="9D0EC76A" w:tentative="1">
      <w:start w:val="1"/>
      <w:numFmt w:val="bullet"/>
      <w:lvlText w:val="•"/>
      <w:lvlJc w:val="left"/>
      <w:pPr>
        <w:tabs>
          <w:tab w:val="num" w:pos="5040"/>
        </w:tabs>
        <w:ind w:left="5040" w:hanging="360"/>
      </w:pPr>
      <w:rPr>
        <w:rFonts w:ascii="Arial" w:hAnsi="Arial" w:hint="default"/>
      </w:rPr>
    </w:lvl>
    <w:lvl w:ilvl="7" w:tplc="D008702E" w:tentative="1">
      <w:start w:val="1"/>
      <w:numFmt w:val="bullet"/>
      <w:lvlText w:val="•"/>
      <w:lvlJc w:val="left"/>
      <w:pPr>
        <w:tabs>
          <w:tab w:val="num" w:pos="5760"/>
        </w:tabs>
        <w:ind w:left="5760" w:hanging="360"/>
      </w:pPr>
      <w:rPr>
        <w:rFonts w:ascii="Arial" w:hAnsi="Arial" w:hint="default"/>
      </w:rPr>
    </w:lvl>
    <w:lvl w:ilvl="8" w:tplc="1CD20564" w:tentative="1">
      <w:start w:val="1"/>
      <w:numFmt w:val="bullet"/>
      <w:lvlText w:val="•"/>
      <w:lvlJc w:val="left"/>
      <w:pPr>
        <w:tabs>
          <w:tab w:val="num" w:pos="6480"/>
        </w:tabs>
        <w:ind w:left="6480" w:hanging="360"/>
      </w:pPr>
      <w:rPr>
        <w:rFonts w:ascii="Arial" w:hAnsi="Arial" w:hint="default"/>
      </w:rPr>
    </w:lvl>
  </w:abstractNum>
  <w:abstractNum w:abstractNumId="1">
    <w:nsid w:val="047245F9"/>
    <w:multiLevelType w:val="hybridMultilevel"/>
    <w:tmpl w:val="43EC34DC"/>
    <w:lvl w:ilvl="0" w:tplc="5394C124">
      <w:start w:val="1"/>
      <w:numFmt w:val="bullet"/>
      <w:lvlText w:val="•"/>
      <w:lvlJc w:val="left"/>
      <w:pPr>
        <w:tabs>
          <w:tab w:val="num" w:pos="720"/>
        </w:tabs>
        <w:ind w:left="720" w:hanging="360"/>
      </w:pPr>
      <w:rPr>
        <w:rFonts w:ascii="Arial" w:hAnsi="Arial" w:hint="default"/>
      </w:rPr>
    </w:lvl>
    <w:lvl w:ilvl="1" w:tplc="09E6121E">
      <w:numFmt w:val="bullet"/>
      <w:lvlText w:val=""/>
      <w:lvlJc w:val="left"/>
      <w:pPr>
        <w:tabs>
          <w:tab w:val="num" w:pos="1440"/>
        </w:tabs>
        <w:ind w:left="1440" w:hanging="360"/>
      </w:pPr>
      <w:rPr>
        <w:rFonts w:ascii="Wingdings" w:hAnsi="Wingdings" w:hint="default"/>
      </w:rPr>
    </w:lvl>
    <w:lvl w:ilvl="2" w:tplc="51BAA7C0" w:tentative="1">
      <w:start w:val="1"/>
      <w:numFmt w:val="bullet"/>
      <w:lvlText w:val="•"/>
      <w:lvlJc w:val="left"/>
      <w:pPr>
        <w:tabs>
          <w:tab w:val="num" w:pos="2160"/>
        </w:tabs>
        <w:ind w:left="2160" w:hanging="360"/>
      </w:pPr>
      <w:rPr>
        <w:rFonts w:ascii="Arial" w:hAnsi="Arial" w:hint="default"/>
      </w:rPr>
    </w:lvl>
    <w:lvl w:ilvl="3" w:tplc="1F22DAF6" w:tentative="1">
      <w:start w:val="1"/>
      <w:numFmt w:val="bullet"/>
      <w:lvlText w:val="•"/>
      <w:lvlJc w:val="left"/>
      <w:pPr>
        <w:tabs>
          <w:tab w:val="num" w:pos="2880"/>
        </w:tabs>
        <w:ind w:left="2880" w:hanging="360"/>
      </w:pPr>
      <w:rPr>
        <w:rFonts w:ascii="Arial" w:hAnsi="Arial" w:hint="default"/>
      </w:rPr>
    </w:lvl>
    <w:lvl w:ilvl="4" w:tplc="A8123422" w:tentative="1">
      <w:start w:val="1"/>
      <w:numFmt w:val="bullet"/>
      <w:lvlText w:val="•"/>
      <w:lvlJc w:val="left"/>
      <w:pPr>
        <w:tabs>
          <w:tab w:val="num" w:pos="3600"/>
        </w:tabs>
        <w:ind w:left="3600" w:hanging="360"/>
      </w:pPr>
      <w:rPr>
        <w:rFonts w:ascii="Arial" w:hAnsi="Arial" w:hint="default"/>
      </w:rPr>
    </w:lvl>
    <w:lvl w:ilvl="5" w:tplc="706EC93E" w:tentative="1">
      <w:start w:val="1"/>
      <w:numFmt w:val="bullet"/>
      <w:lvlText w:val="•"/>
      <w:lvlJc w:val="left"/>
      <w:pPr>
        <w:tabs>
          <w:tab w:val="num" w:pos="4320"/>
        </w:tabs>
        <w:ind w:left="4320" w:hanging="360"/>
      </w:pPr>
      <w:rPr>
        <w:rFonts w:ascii="Arial" w:hAnsi="Arial" w:hint="default"/>
      </w:rPr>
    </w:lvl>
    <w:lvl w:ilvl="6" w:tplc="000E6CFE" w:tentative="1">
      <w:start w:val="1"/>
      <w:numFmt w:val="bullet"/>
      <w:lvlText w:val="•"/>
      <w:lvlJc w:val="left"/>
      <w:pPr>
        <w:tabs>
          <w:tab w:val="num" w:pos="5040"/>
        </w:tabs>
        <w:ind w:left="5040" w:hanging="360"/>
      </w:pPr>
      <w:rPr>
        <w:rFonts w:ascii="Arial" w:hAnsi="Arial" w:hint="default"/>
      </w:rPr>
    </w:lvl>
    <w:lvl w:ilvl="7" w:tplc="E1DC4E32" w:tentative="1">
      <w:start w:val="1"/>
      <w:numFmt w:val="bullet"/>
      <w:lvlText w:val="•"/>
      <w:lvlJc w:val="left"/>
      <w:pPr>
        <w:tabs>
          <w:tab w:val="num" w:pos="5760"/>
        </w:tabs>
        <w:ind w:left="5760" w:hanging="360"/>
      </w:pPr>
      <w:rPr>
        <w:rFonts w:ascii="Arial" w:hAnsi="Arial" w:hint="default"/>
      </w:rPr>
    </w:lvl>
    <w:lvl w:ilvl="8" w:tplc="2C7025BC" w:tentative="1">
      <w:start w:val="1"/>
      <w:numFmt w:val="bullet"/>
      <w:lvlText w:val="•"/>
      <w:lvlJc w:val="left"/>
      <w:pPr>
        <w:tabs>
          <w:tab w:val="num" w:pos="6480"/>
        </w:tabs>
        <w:ind w:left="6480" w:hanging="360"/>
      </w:pPr>
      <w:rPr>
        <w:rFonts w:ascii="Arial" w:hAnsi="Arial" w:hint="default"/>
      </w:rPr>
    </w:lvl>
  </w:abstractNum>
  <w:abstractNum w:abstractNumId="2">
    <w:nsid w:val="04950043"/>
    <w:multiLevelType w:val="hybridMultilevel"/>
    <w:tmpl w:val="63F8C186"/>
    <w:lvl w:ilvl="0" w:tplc="04090001">
      <w:start w:val="1"/>
      <w:numFmt w:val="bullet"/>
      <w:lvlText w:val=""/>
      <w:lvlJc w:val="left"/>
      <w:pPr>
        <w:ind w:left="1571" w:hanging="360"/>
      </w:pPr>
      <w:rPr>
        <w:rFonts w:ascii="Symbol" w:hAnsi="Symbol" w:hint="default"/>
      </w:rPr>
    </w:lvl>
    <w:lvl w:ilvl="1" w:tplc="0408000D">
      <w:start w:val="1"/>
      <w:numFmt w:val="bullet"/>
      <w:lvlText w:val=""/>
      <w:lvlJc w:val="left"/>
      <w:pPr>
        <w:ind w:left="2291" w:hanging="360"/>
      </w:pPr>
      <w:rPr>
        <w:rFonts w:ascii="Wingdings" w:hAnsi="Wingdings"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nsid w:val="065470DC"/>
    <w:multiLevelType w:val="hybridMultilevel"/>
    <w:tmpl w:val="D1AEA3D8"/>
    <w:lvl w:ilvl="0" w:tplc="3CCA7666">
      <w:start w:val="1"/>
      <w:numFmt w:val="bullet"/>
      <w:lvlText w:val="•"/>
      <w:lvlJc w:val="left"/>
      <w:pPr>
        <w:tabs>
          <w:tab w:val="num" w:pos="720"/>
        </w:tabs>
        <w:ind w:left="720" w:hanging="360"/>
      </w:pPr>
      <w:rPr>
        <w:rFonts w:ascii="Arial" w:hAnsi="Arial" w:hint="default"/>
      </w:rPr>
    </w:lvl>
    <w:lvl w:ilvl="1" w:tplc="AE58E3C2" w:tentative="1">
      <w:start w:val="1"/>
      <w:numFmt w:val="bullet"/>
      <w:lvlText w:val="•"/>
      <w:lvlJc w:val="left"/>
      <w:pPr>
        <w:tabs>
          <w:tab w:val="num" w:pos="1440"/>
        </w:tabs>
        <w:ind w:left="1440" w:hanging="360"/>
      </w:pPr>
      <w:rPr>
        <w:rFonts w:ascii="Arial" w:hAnsi="Arial" w:hint="default"/>
      </w:rPr>
    </w:lvl>
    <w:lvl w:ilvl="2" w:tplc="4C1A150A" w:tentative="1">
      <w:start w:val="1"/>
      <w:numFmt w:val="bullet"/>
      <w:lvlText w:val="•"/>
      <w:lvlJc w:val="left"/>
      <w:pPr>
        <w:tabs>
          <w:tab w:val="num" w:pos="2160"/>
        </w:tabs>
        <w:ind w:left="2160" w:hanging="360"/>
      </w:pPr>
      <w:rPr>
        <w:rFonts w:ascii="Arial" w:hAnsi="Arial" w:hint="default"/>
      </w:rPr>
    </w:lvl>
    <w:lvl w:ilvl="3" w:tplc="62D063A0" w:tentative="1">
      <w:start w:val="1"/>
      <w:numFmt w:val="bullet"/>
      <w:lvlText w:val="•"/>
      <w:lvlJc w:val="left"/>
      <w:pPr>
        <w:tabs>
          <w:tab w:val="num" w:pos="2880"/>
        </w:tabs>
        <w:ind w:left="2880" w:hanging="360"/>
      </w:pPr>
      <w:rPr>
        <w:rFonts w:ascii="Arial" w:hAnsi="Arial" w:hint="default"/>
      </w:rPr>
    </w:lvl>
    <w:lvl w:ilvl="4" w:tplc="4E626E82" w:tentative="1">
      <w:start w:val="1"/>
      <w:numFmt w:val="bullet"/>
      <w:lvlText w:val="•"/>
      <w:lvlJc w:val="left"/>
      <w:pPr>
        <w:tabs>
          <w:tab w:val="num" w:pos="3600"/>
        </w:tabs>
        <w:ind w:left="3600" w:hanging="360"/>
      </w:pPr>
      <w:rPr>
        <w:rFonts w:ascii="Arial" w:hAnsi="Arial" w:hint="default"/>
      </w:rPr>
    </w:lvl>
    <w:lvl w:ilvl="5" w:tplc="000A0020" w:tentative="1">
      <w:start w:val="1"/>
      <w:numFmt w:val="bullet"/>
      <w:lvlText w:val="•"/>
      <w:lvlJc w:val="left"/>
      <w:pPr>
        <w:tabs>
          <w:tab w:val="num" w:pos="4320"/>
        </w:tabs>
        <w:ind w:left="4320" w:hanging="360"/>
      </w:pPr>
      <w:rPr>
        <w:rFonts w:ascii="Arial" w:hAnsi="Arial" w:hint="default"/>
      </w:rPr>
    </w:lvl>
    <w:lvl w:ilvl="6" w:tplc="1F763C6A" w:tentative="1">
      <w:start w:val="1"/>
      <w:numFmt w:val="bullet"/>
      <w:lvlText w:val="•"/>
      <w:lvlJc w:val="left"/>
      <w:pPr>
        <w:tabs>
          <w:tab w:val="num" w:pos="5040"/>
        </w:tabs>
        <w:ind w:left="5040" w:hanging="360"/>
      </w:pPr>
      <w:rPr>
        <w:rFonts w:ascii="Arial" w:hAnsi="Arial" w:hint="default"/>
      </w:rPr>
    </w:lvl>
    <w:lvl w:ilvl="7" w:tplc="2CF4100A" w:tentative="1">
      <w:start w:val="1"/>
      <w:numFmt w:val="bullet"/>
      <w:lvlText w:val="•"/>
      <w:lvlJc w:val="left"/>
      <w:pPr>
        <w:tabs>
          <w:tab w:val="num" w:pos="5760"/>
        </w:tabs>
        <w:ind w:left="5760" w:hanging="360"/>
      </w:pPr>
      <w:rPr>
        <w:rFonts w:ascii="Arial" w:hAnsi="Arial" w:hint="default"/>
      </w:rPr>
    </w:lvl>
    <w:lvl w:ilvl="8" w:tplc="B0FAD7CA" w:tentative="1">
      <w:start w:val="1"/>
      <w:numFmt w:val="bullet"/>
      <w:lvlText w:val="•"/>
      <w:lvlJc w:val="left"/>
      <w:pPr>
        <w:tabs>
          <w:tab w:val="num" w:pos="6480"/>
        </w:tabs>
        <w:ind w:left="6480" w:hanging="360"/>
      </w:pPr>
      <w:rPr>
        <w:rFonts w:ascii="Arial" w:hAnsi="Arial" w:hint="default"/>
      </w:rPr>
    </w:lvl>
  </w:abstractNum>
  <w:abstractNum w:abstractNumId="4">
    <w:nsid w:val="09AB053A"/>
    <w:multiLevelType w:val="hybridMultilevel"/>
    <w:tmpl w:val="67D827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D4B1DD2"/>
    <w:multiLevelType w:val="hybridMultilevel"/>
    <w:tmpl w:val="533EC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D925CA1"/>
    <w:multiLevelType w:val="hybridMultilevel"/>
    <w:tmpl w:val="975061A6"/>
    <w:lvl w:ilvl="0" w:tplc="9AE85748">
      <w:start w:val="1"/>
      <w:numFmt w:val="bullet"/>
      <w:lvlText w:val="•"/>
      <w:lvlJc w:val="left"/>
      <w:pPr>
        <w:tabs>
          <w:tab w:val="num" w:pos="720"/>
        </w:tabs>
        <w:ind w:left="720" w:hanging="360"/>
      </w:pPr>
      <w:rPr>
        <w:rFonts w:ascii="Arial" w:hAnsi="Arial" w:hint="default"/>
      </w:rPr>
    </w:lvl>
    <w:lvl w:ilvl="1" w:tplc="B9DCC356" w:tentative="1">
      <w:start w:val="1"/>
      <w:numFmt w:val="bullet"/>
      <w:lvlText w:val="•"/>
      <w:lvlJc w:val="left"/>
      <w:pPr>
        <w:tabs>
          <w:tab w:val="num" w:pos="1440"/>
        </w:tabs>
        <w:ind w:left="1440" w:hanging="360"/>
      </w:pPr>
      <w:rPr>
        <w:rFonts w:ascii="Arial" w:hAnsi="Arial" w:hint="default"/>
      </w:rPr>
    </w:lvl>
    <w:lvl w:ilvl="2" w:tplc="3AF41174" w:tentative="1">
      <w:start w:val="1"/>
      <w:numFmt w:val="bullet"/>
      <w:lvlText w:val="•"/>
      <w:lvlJc w:val="left"/>
      <w:pPr>
        <w:tabs>
          <w:tab w:val="num" w:pos="2160"/>
        </w:tabs>
        <w:ind w:left="2160" w:hanging="360"/>
      </w:pPr>
      <w:rPr>
        <w:rFonts w:ascii="Arial" w:hAnsi="Arial" w:hint="default"/>
      </w:rPr>
    </w:lvl>
    <w:lvl w:ilvl="3" w:tplc="CB841130" w:tentative="1">
      <w:start w:val="1"/>
      <w:numFmt w:val="bullet"/>
      <w:lvlText w:val="•"/>
      <w:lvlJc w:val="left"/>
      <w:pPr>
        <w:tabs>
          <w:tab w:val="num" w:pos="2880"/>
        </w:tabs>
        <w:ind w:left="2880" w:hanging="360"/>
      </w:pPr>
      <w:rPr>
        <w:rFonts w:ascii="Arial" w:hAnsi="Arial" w:hint="default"/>
      </w:rPr>
    </w:lvl>
    <w:lvl w:ilvl="4" w:tplc="BA9686BE" w:tentative="1">
      <w:start w:val="1"/>
      <w:numFmt w:val="bullet"/>
      <w:lvlText w:val="•"/>
      <w:lvlJc w:val="left"/>
      <w:pPr>
        <w:tabs>
          <w:tab w:val="num" w:pos="3600"/>
        </w:tabs>
        <w:ind w:left="3600" w:hanging="360"/>
      </w:pPr>
      <w:rPr>
        <w:rFonts w:ascii="Arial" w:hAnsi="Arial" w:hint="default"/>
      </w:rPr>
    </w:lvl>
    <w:lvl w:ilvl="5" w:tplc="A880C782" w:tentative="1">
      <w:start w:val="1"/>
      <w:numFmt w:val="bullet"/>
      <w:lvlText w:val="•"/>
      <w:lvlJc w:val="left"/>
      <w:pPr>
        <w:tabs>
          <w:tab w:val="num" w:pos="4320"/>
        </w:tabs>
        <w:ind w:left="4320" w:hanging="360"/>
      </w:pPr>
      <w:rPr>
        <w:rFonts w:ascii="Arial" w:hAnsi="Arial" w:hint="default"/>
      </w:rPr>
    </w:lvl>
    <w:lvl w:ilvl="6" w:tplc="68E0F826" w:tentative="1">
      <w:start w:val="1"/>
      <w:numFmt w:val="bullet"/>
      <w:lvlText w:val="•"/>
      <w:lvlJc w:val="left"/>
      <w:pPr>
        <w:tabs>
          <w:tab w:val="num" w:pos="5040"/>
        </w:tabs>
        <w:ind w:left="5040" w:hanging="360"/>
      </w:pPr>
      <w:rPr>
        <w:rFonts w:ascii="Arial" w:hAnsi="Arial" w:hint="default"/>
      </w:rPr>
    </w:lvl>
    <w:lvl w:ilvl="7" w:tplc="620AA792" w:tentative="1">
      <w:start w:val="1"/>
      <w:numFmt w:val="bullet"/>
      <w:lvlText w:val="•"/>
      <w:lvlJc w:val="left"/>
      <w:pPr>
        <w:tabs>
          <w:tab w:val="num" w:pos="5760"/>
        </w:tabs>
        <w:ind w:left="5760" w:hanging="360"/>
      </w:pPr>
      <w:rPr>
        <w:rFonts w:ascii="Arial" w:hAnsi="Arial" w:hint="default"/>
      </w:rPr>
    </w:lvl>
    <w:lvl w:ilvl="8" w:tplc="1B224378" w:tentative="1">
      <w:start w:val="1"/>
      <w:numFmt w:val="bullet"/>
      <w:lvlText w:val="•"/>
      <w:lvlJc w:val="left"/>
      <w:pPr>
        <w:tabs>
          <w:tab w:val="num" w:pos="6480"/>
        </w:tabs>
        <w:ind w:left="6480" w:hanging="360"/>
      </w:pPr>
      <w:rPr>
        <w:rFonts w:ascii="Arial" w:hAnsi="Arial" w:hint="default"/>
      </w:rPr>
    </w:lvl>
  </w:abstractNum>
  <w:abstractNum w:abstractNumId="7">
    <w:nsid w:val="0F432931"/>
    <w:multiLevelType w:val="hybridMultilevel"/>
    <w:tmpl w:val="912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F0B45"/>
    <w:multiLevelType w:val="hybridMultilevel"/>
    <w:tmpl w:val="2CC4D0F2"/>
    <w:lvl w:ilvl="0" w:tplc="6E948B2C">
      <w:start w:val="1"/>
      <w:numFmt w:val="bullet"/>
      <w:lvlText w:val="•"/>
      <w:lvlJc w:val="left"/>
      <w:pPr>
        <w:tabs>
          <w:tab w:val="num" w:pos="720"/>
        </w:tabs>
        <w:ind w:left="720" w:hanging="360"/>
      </w:pPr>
      <w:rPr>
        <w:rFonts w:ascii="Arial" w:hAnsi="Arial" w:hint="default"/>
      </w:rPr>
    </w:lvl>
    <w:lvl w:ilvl="1" w:tplc="B5F2ADE4" w:tentative="1">
      <w:start w:val="1"/>
      <w:numFmt w:val="bullet"/>
      <w:lvlText w:val="•"/>
      <w:lvlJc w:val="left"/>
      <w:pPr>
        <w:tabs>
          <w:tab w:val="num" w:pos="1440"/>
        </w:tabs>
        <w:ind w:left="1440" w:hanging="360"/>
      </w:pPr>
      <w:rPr>
        <w:rFonts w:ascii="Arial" w:hAnsi="Arial" w:hint="default"/>
      </w:rPr>
    </w:lvl>
    <w:lvl w:ilvl="2" w:tplc="A112B2EC" w:tentative="1">
      <w:start w:val="1"/>
      <w:numFmt w:val="bullet"/>
      <w:lvlText w:val="•"/>
      <w:lvlJc w:val="left"/>
      <w:pPr>
        <w:tabs>
          <w:tab w:val="num" w:pos="2160"/>
        </w:tabs>
        <w:ind w:left="2160" w:hanging="360"/>
      </w:pPr>
      <w:rPr>
        <w:rFonts w:ascii="Arial" w:hAnsi="Arial" w:hint="default"/>
      </w:rPr>
    </w:lvl>
    <w:lvl w:ilvl="3" w:tplc="BD1C9400" w:tentative="1">
      <w:start w:val="1"/>
      <w:numFmt w:val="bullet"/>
      <w:lvlText w:val="•"/>
      <w:lvlJc w:val="left"/>
      <w:pPr>
        <w:tabs>
          <w:tab w:val="num" w:pos="2880"/>
        </w:tabs>
        <w:ind w:left="2880" w:hanging="360"/>
      </w:pPr>
      <w:rPr>
        <w:rFonts w:ascii="Arial" w:hAnsi="Arial" w:hint="default"/>
      </w:rPr>
    </w:lvl>
    <w:lvl w:ilvl="4" w:tplc="28B2A326" w:tentative="1">
      <w:start w:val="1"/>
      <w:numFmt w:val="bullet"/>
      <w:lvlText w:val="•"/>
      <w:lvlJc w:val="left"/>
      <w:pPr>
        <w:tabs>
          <w:tab w:val="num" w:pos="3600"/>
        </w:tabs>
        <w:ind w:left="3600" w:hanging="360"/>
      </w:pPr>
      <w:rPr>
        <w:rFonts w:ascii="Arial" w:hAnsi="Arial" w:hint="default"/>
      </w:rPr>
    </w:lvl>
    <w:lvl w:ilvl="5" w:tplc="89086508" w:tentative="1">
      <w:start w:val="1"/>
      <w:numFmt w:val="bullet"/>
      <w:lvlText w:val="•"/>
      <w:lvlJc w:val="left"/>
      <w:pPr>
        <w:tabs>
          <w:tab w:val="num" w:pos="4320"/>
        </w:tabs>
        <w:ind w:left="4320" w:hanging="360"/>
      </w:pPr>
      <w:rPr>
        <w:rFonts w:ascii="Arial" w:hAnsi="Arial" w:hint="default"/>
      </w:rPr>
    </w:lvl>
    <w:lvl w:ilvl="6" w:tplc="6CD49BF8" w:tentative="1">
      <w:start w:val="1"/>
      <w:numFmt w:val="bullet"/>
      <w:lvlText w:val="•"/>
      <w:lvlJc w:val="left"/>
      <w:pPr>
        <w:tabs>
          <w:tab w:val="num" w:pos="5040"/>
        </w:tabs>
        <w:ind w:left="5040" w:hanging="360"/>
      </w:pPr>
      <w:rPr>
        <w:rFonts w:ascii="Arial" w:hAnsi="Arial" w:hint="default"/>
      </w:rPr>
    </w:lvl>
    <w:lvl w:ilvl="7" w:tplc="1DE089F8" w:tentative="1">
      <w:start w:val="1"/>
      <w:numFmt w:val="bullet"/>
      <w:lvlText w:val="•"/>
      <w:lvlJc w:val="left"/>
      <w:pPr>
        <w:tabs>
          <w:tab w:val="num" w:pos="5760"/>
        </w:tabs>
        <w:ind w:left="5760" w:hanging="360"/>
      </w:pPr>
      <w:rPr>
        <w:rFonts w:ascii="Arial" w:hAnsi="Arial" w:hint="default"/>
      </w:rPr>
    </w:lvl>
    <w:lvl w:ilvl="8" w:tplc="868897DE" w:tentative="1">
      <w:start w:val="1"/>
      <w:numFmt w:val="bullet"/>
      <w:lvlText w:val="•"/>
      <w:lvlJc w:val="left"/>
      <w:pPr>
        <w:tabs>
          <w:tab w:val="num" w:pos="6480"/>
        </w:tabs>
        <w:ind w:left="6480" w:hanging="360"/>
      </w:pPr>
      <w:rPr>
        <w:rFonts w:ascii="Arial" w:hAnsi="Arial" w:hint="default"/>
      </w:rPr>
    </w:lvl>
  </w:abstractNum>
  <w:abstractNum w:abstractNumId="9">
    <w:nsid w:val="197E3E24"/>
    <w:multiLevelType w:val="hybridMultilevel"/>
    <w:tmpl w:val="6BBC6B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A63772A"/>
    <w:multiLevelType w:val="hybridMultilevel"/>
    <w:tmpl w:val="BB68152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1AB96E1C"/>
    <w:multiLevelType w:val="hybridMultilevel"/>
    <w:tmpl w:val="6080963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1AE04AB6"/>
    <w:multiLevelType w:val="hybridMultilevel"/>
    <w:tmpl w:val="D6F61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634E3C"/>
    <w:multiLevelType w:val="hybridMultilevel"/>
    <w:tmpl w:val="13F4B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6A24804"/>
    <w:multiLevelType w:val="hybridMultilevel"/>
    <w:tmpl w:val="27A43270"/>
    <w:lvl w:ilvl="0" w:tplc="3E2EF828">
      <w:start w:val="1"/>
      <w:numFmt w:val="bullet"/>
      <w:lvlText w:val="•"/>
      <w:lvlJc w:val="left"/>
      <w:pPr>
        <w:tabs>
          <w:tab w:val="num" w:pos="720"/>
        </w:tabs>
        <w:ind w:left="720" w:hanging="360"/>
      </w:pPr>
      <w:rPr>
        <w:rFonts w:ascii="Arial" w:hAnsi="Arial" w:hint="default"/>
      </w:rPr>
    </w:lvl>
    <w:lvl w:ilvl="1" w:tplc="BF8852C4" w:tentative="1">
      <w:start w:val="1"/>
      <w:numFmt w:val="bullet"/>
      <w:lvlText w:val="•"/>
      <w:lvlJc w:val="left"/>
      <w:pPr>
        <w:tabs>
          <w:tab w:val="num" w:pos="1440"/>
        </w:tabs>
        <w:ind w:left="1440" w:hanging="360"/>
      </w:pPr>
      <w:rPr>
        <w:rFonts w:ascii="Arial" w:hAnsi="Arial" w:hint="default"/>
      </w:rPr>
    </w:lvl>
    <w:lvl w:ilvl="2" w:tplc="9BDA8AF2" w:tentative="1">
      <w:start w:val="1"/>
      <w:numFmt w:val="bullet"/>
      <w:lvlText w:val="•"/>
      <w:lvlJc w:val="left"/>
      <w:pPr>
        <w:tabs>
          <w:tab w:val="num" w:pos="2160"/>
        </w:tabs>
        <w:ind w:left="2160" w:hanging="360"/>
      </w:pPr>
      <w:rPr>
        <w:rFonts w:ascii="Arial" w:hAnsi="Arial" w:hint="default"/>
      </w:rPr>
    </w:lvl>
    <w:lvl w:ilvl="3" w:tplc="FAC01B30" w:tentative="1">
      <w:start w:val="1"/>
      <w:numFmt w:val="bullet"/>
      <w:lvlText w:val="•"/>
      <w:lvlJc w:val="left"/>
      <w:pPr>
        <w:tabs>
          <w:tab w:val="num" w:pos="2880"/>
        </w:tabs>
        <w:ind w:left="2880" w:hanging="360"/>
      </w:pPr>
      <w:rPr>
        <w:rFonts w:ascii="Arial" w:hAnsi="Arial" w:hint="default"/>
      </w:rPr>
    </w:lvl>
    <w:lvl w:ilvl="4" w:tplc="4FC6B514" w:tentative="1">
      <w:start w:val="1"/>
      <w:numFmt w:val="bullet"/>
      <w:lvlText w:val="•"/>
      <w:lvlJc w:val="left"/>
      <w:pPr>
        <w:tabs>
          <w:tab w:val="num" w:pos="3600"/>
        </w:tabs>
        <w:ind w:left="3600" w:hanging="360"/>
      </w:pPr>
      <w:rPr>
        <w:rFonts w:ascii="Arial" w:hAnsi="Arial" w:hint="default"/>
      </w:rPr>
    </w:lvl>
    <w:lvl w:ilvl="5" w:tplc="63D69E28" w:tentative="1">
      <w:start w:val="1"/>
      <w:numFmt w:val="bullet"/>
      <w:lvlText w:val="•"/>
      <w:lvlJc w:val="left"/>
      <w:pPr>
        <w:tabs>
          <w:tab w:val="num" w:pos="4320"/>
        </w:tabs>
        <w:ind w:left="4320" w:hanging="360"/>
      </w:pPr>
      <w:rPr>
        <w:rFonts w:ascii="Arial" w:hAnsi="Arial" w:hint="default"/>
      </w:rPr>
    </w:lvl>
    <w:lvl w:ilvl="6" w:tplc="ECE48F94" w:tentative="1">
      <w:start w:val="1"/>
      <w:numFmt w:val="bullet"/>
      <w:lvlText w:val="•"/>
      <w:lvlJc w:val="left"/>
      <w:pPr>
        <w:tabs>
          <w:tab w:val="num" w:pos="5040"/>
        </w:tabs>
        <w:ind w:left="5040" w:hanging="360"/>
      </w:pPr>
      <w:rPr>
        <w:rFonts w:ascii="Arial" w:hAnsi="Arial" w:hint="default"/>
      </w:rPr>
    </w:lvl>
    <w:lvl w:ilvl="7" w:tplc="A5CE7794" w:tentative="1">
      <w:start w:val="1"/>
      <w:numFmt w:val="bullet"/>
      <w:lvlText w:val="•"/>
      <w:lvlJc w:val="left"/>
      <w:pPr>
        <w:tabs>
          <w:tab w:val="num" w:pos="5760"/>
        </w:tabs>
        <w:ind w:left="5760" w:hanging="360"/>
      </w:pPr>
      <w:rPr>
        <w:rFonts w:ascii="Arial" w:hAnsi="Arial" w:hint="default"/>
      </w:rPr>
    </w:lvl>
    <w:lvl w:ilvl="8" w:tplc="F33AA22E" w:tentative="1">
      <w:start w:val="1"/>
      <w:numFmt w:val="bullet"/>
      <w:lvlText w:val="•"/>
      <w:lvlJc w:val="left"/>
      <w:pPr>
        <w:tabs>
          <w:tab w:val="num" w:pos="6480"/>
        </w:tabs>
        <w:ind w:left="6480" w:hanging="360"/>
      </w:pPr>
      <w:rPr>
        <w:rFonts w:ascii="Arial" w:hAnsi="Arial" w:hint="default"/>
      </w:rPr>
    </w:lvl>
  </w:abstractNum>
  <w:abstractNum w:abstractNumId="15">
    <w:nsid w:val="270946D4"/>
    <w:multiLevelType w:val="hybridMultilevel"/>
    <w:tmpl w:val="06A8D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AF818F8"/>
    <w:multiLevelType w:val="hybridMultilevel"/>
    <w:tmpl w:val="2C8C7148"/>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17">
    <w:nsid w:val="2BFF1683"/>
    <w:multiLevelType w:val="hybridMultilevel"/>
    <w:tmpl w:val="C26667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30AB5138"/>
    <w:multiLevelType w:val="hybridMultilevel"/>
    <w:tmpl w:val="1368C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BF737AA"/>
    <w:multiLevelType w:val="hybridMultilevel"/>
    <w:tmpl w:val="434AE264"/>
    <w:lvl w:ilvl="0" w:tplc="C46E5C08">
      <w:start w:val="1"/>
      <w:numFmt w:val="bullet"/>
      <w:lvlText w:val="•"/>
      <w:lvlJc w:val="left"/>
      <w:pPr>
        <w:tabs>
          <w:tab w:val="num" w:pos="720"/>
        </w:tabs>
        <w:ind w:left="720" w:hanging="360"/>
      </w:pPr>
      <w:rPr>
        <w:rFonts w:ascii="Arial" w:hAnsi="Arial" w:hint="default"/>
      </w:rPr>
    </w:lvl>
    <w:lvl w:ilvl="1" w:tplc="0882B9EE" w:tentative="1">
      <w:start w:val="1"/>
      <w:numFmt w:val="bullet"/>
      <w:lvlText w:val="•"/>
      <w:lvlJc w:val="left"/>
      <w:pPr>
        <w:tabs>
          <w:tab w:val="num" w:pos="1440"/>
        </w:tabs>
        <w:ind w:left="1440" w:hanging="360"/>
      </w:pPr>
      <w:rPr>
        <w:rFonts w:ascii="Arial" w:hAnsi="Arial" w:hint="default"/>
      </w:rPr>
    </w:lvl>
    <w:lvl w:ilvl="2" w:tplc="74F0A8A6" w:tentative="1">
      <w:start w:val="1"/>
      <w:numFmt w:val="bullet"/>
      <w:lvlText w:val="•"/>
      <w:lvlJc w:val="left"/>
      <w:pPr>
        <w:tabs>
          <w:tab w:val="num" w:pos="2160"/>
        </w:tabs>
        <w:ind w:left="2160" w:hanging="360"/>
      </w:pPr>
      <w:rPr>
        <w:rFonts w:ascii="Arial" w:hAnsi="Arial" w:hint="default"/>
      </w:rPr>
    </w:lvl>
    <w:lvl w:ilvl="3" w:tplc="96FCB69C" w:tentative="1">
      <w:start w:val="1"/>
      <w:numFmt w:val="bullet"/>
      <w:lvlText w:val="•"/>
      <w:lvlJc w:val="left"/>
      <w:pPr>
        <w:tabs>
          <w:tab w:val="num" w:pos="2880"/>
        </w:tabs>
        <w:ind w:left="2880" w:hanging="360"/>
      </w:pPr>
      <w:rPr>
        <w:rFonts w:ascii="Arial" w:hAnsi="Arial" w:hint="default"/>
      </w:rPr>
    </w:lvl>
    <w:lvl w:ilvl="4" w:tplc="F2E4A49E" w:tentative="1">
      <w:start w:val="1"/>
      <w:numFmt w:val="bullet"/>
      <w:lvlText w:val="•"/>
      <w:lvlJc w:val="left"/>
      <w:pPr>
        <w:tabs>
          <w:tab w:val="num" w:pos="3600"/>
        </w:tabs>
        <w:ind w:left="3600" w:hanging="360"/>
      </w:pPr>
      <w:rPr>
        <w:rFonts w:ascii="Arial" w:hAnsi="Arial" w:hint="default"/>
      </w:rPr>
    </w:lvl>
    <w:lvl w:ilvl="5" w:tplc="F0D227DC" w:tentative="1">
      <w:start w:val="1"/>
      <w:numFmt w:val="bullet"/>
      <w:lvlText w:val="•"/>
      <w:lvlJc w:val="left"/>
      <w:pPr>
        <w:tabs>
          <w:tab w:val="num" w:pos="4320"/>
        </w:tabs>
        <w:ind w:left="4320" w:hanging="360"/>
      </w:pPr>
      <w:rPr>
        <w:rFonts w:ascii="Arial" w:hAnsi="Arial" w:hint="default"/>
      </w:rPr>
    </w:lvl>
    <w:lvl w:ilvl="6" w:tplc="A41C5F2E" w:tentative="1">
      <w:start w:val="1"/>
      <w:numFmt w:val="bullet"/>
      <w:lvlText w:val="•"/>
      <w:lvlJc w:val="left"/>
      <w:pPr>
        <w:tabs>
          <w:tab w:val="num" w:pos="5040"/>
        </w:tabs>
        <w:ind w:left="5040" w:hanging="360"/>
      </w:pPr>
      <w:rPr>
        <w:rFonts w:ascii="Arial" w:hAnsi="Arial" w:hint="default"/>
      </w:rPr>
    </w:lvl>
    <w:lvl w:ilvl="7" w:tplc="0524842A" w:tentative="1">
      <w:start w:val="1"/>
      <w:numFmt w:val="bullet"/>
      <w:lvlText w:val="•"/>
      <w:lvlJc w:val="left"/>
      <w:pPr>
        <w:tabs>
          <w:tab w:val="num" w:pos="5760"/>
        </w:tabs>
        <w:ind w:left="5760" w:hanging="360"/>
      </w:pPr>
      <w:rPr>
        <w:rFonts w:ascii="Arial" w:hAnsi="Arial" w:hint="default"/>
      </w:rPr>
    </w:lvl>
    <w:lvl w:ilvl="8" w:tplc="D9CABDA4" w:tentative="1">
      <w:start w:val="1"/>
      <w:numFmt w:val="bullet"/>
      <w:lvlText w:val="•"/>
      <w:lvlJc w:val="left"/>
      <w:pPr>
        <w:tabs>
          <w:tab w:val="num" w:pos="6480"/>
        </w:tabs>
        <w:ind w:left="6480" w:hanging="360"/>
      </w:pPr>
      <w:rPr>
        <w:rFonts w:ascii="Arial" w:hAnsi="Arial" w:hint="default"/>
      </w:rPr>
    </w:lvl>
  </w:abstractNum>
  <w:abstractNum w:abstractNumId="20">
    <w:nsid w:val="404147B6"/>
    <w:multiLevelType w:val="hybridMultilevel"/>
    <w:tmpl w:val="90906416"/>
    <w:lvl w:ilvl="0" w:tplc="29E239CE">
      <w:start w:val="1"/>
      <w:numFmt w:val="bullet"/>
      <w:lvlText w:val=""/>
      <w:lvlJc w:val="left"/>
      <w:pPr>
        <w:tabs>
          <w:tab w:val="num" w:pos="720"/>
        </w:tabs>
        <w:ind w:left="720" w:hanging="360"/>
      </w:pPr>
      <w:rPr>
        <w:rFonts w:ascii="Wingdings" w:hAnsi="Wingdings" w:hint="default"/>
      </w:rPr>
    </w:lvl>
    <w:lvl w:ilvl="1" w:tplc="0250F404" w:tentative="1">
      <w:start w:val="1"/>
      <w:numFmt w:val="bullet"/>
      <w:lvlText w:val=""/>
      <w:lvlJc w:val="left"/>
      <w:pPr>
        <w:tabs>
          <w:tab w:val="num" w:pos="1440"/>
        </w:tabs>
        <w:ind w:left="1440" w:hanging="360"/>
      </w:pPr>
      <w:rPr>
        <w:rFonts w:ascii="Wingdings" w:hAnsi="Wingdings" w:hint="default"/>
      </w:rPr>
    </w:lvl>
    <w:lvl w:ilvl="2" w:tplc="D764BA4A" w:tentative="1">
      <w:start w:val="1"/>
      <w:numFmt w:val="bullet"/>
      <w:lvlText w:val=""/>
      <w:lvlJc w:val="left"/>
      <w:pPr>
        <w:tabs>
          <w:tab w:val="num" w:pos="2160"/>
        </w:tabs>
        <w:ind w:left="2160" w:hanging="360"/>
      </w:pPr>
      <w:rPr>
        <w:rFonts w:ascii="Wingdings" w:hAnsi="Wingdings" w:hint="default"/>
      </w:rPr>
    </w:lvl>
    <w:lvl w:ilvl="3" w:tplc="3298713C" w:tentative="1">
      <w:start w:val="1"/>
      <w:numFmt w:val="bullet"/>
      <w:lvlText w:val=""/>
      <w:lvlJc w:val="left"/>
      <w:pPr>
        <w:tabs>
          <w:tab w:val="num" w:pos="2880"/>
        </w:tabs>
        <w:ind w:left="2880" w:hanging="360"/>
      </w:pPr>
      <w:rPr>
        <w:rFonts w:ascii="Wingdings" w:hAnsi="Wingdings" w:hint="default"/>
      </w:rPr>
    </w:lvl>
    <w:lvl w:ilvl="4" w:tplc="95242B80" w:tentative="1">
      <w:start w:val="1"/>
      <w:numFmt w:val="bullet"/>
      <w:lvlText w:val=""/>
      <w:lvlJc w:val="left"/>
      <w:pPr>
        <w:tabs>
          <w:tab w:val="num" w:pos="3600"/>
        </w:tabs>
        <w:ind w:left="3600" w:hanging="360"/>
      </w:pPr>
      <w:rPr>
        <w:rFonts w:ascii="Wingdings" w:hAnsi="Wingdings" w:hint="default"/>
      </w:rPr>
    </w:lvl>
    <w:lvl w:ilvl="5" w:tplc="13088470" w:tentative="1">
      <w:start w:val="1"/>
      <w:numFmt w:val="bullet"/>
      <w:lvlText w:val=""/>
      <w:lvlJc w:val="left"/>
      <w:pPr>
        <w:tabs>
          <w:tab w:val="num" w:pos="4320"/>
        </w:tabs>
        <w:ind w:left="4320" w:hanging="360"/>
      </w:pPr>
      <w:rPr>
        <w:rFonts w:ascii="Wingdings" w:hAnsi="Wingdings" w:hint="default"/>
      </w:rPr>
    </w:lvl>
    <w:lvl w:ilvl="6" w:tplc="336E7C80" w:tentative="1">
      <w:start w:val="1"/>
      <w:numFmt w:val="bullet"/>
      <w:lvlText w:val=""/>
      <w:lvlJc w:val="left"/>
      <w:pPr>
        <w:tabs>
          <w:tab w:val="num" w:pos="5040"/>
        </w:tabs>
        <w:ind w:left="5040" w:hanging="360"/>
      </w:pPr>
      <w:rPr>
        <w:rFonts w:ascii="Wingdings" w:hAnsi="Wingdings" w:hint="default"/>
      </w:rPr>
    </w:lvl>
    <w:lvl w:ilvl="7" w:tplc="CD76C618" w:tentative="1">
      <w:start w:val="1"/>
      <w:numFmt w:val="bullet"/>
      <w:lvlText w:val=""/>
      <w:lvlJc w:val="left"/>
      <w:pPr>
        <w:tabs>
          <w:tab w:val="num" w:pos="5760"/>
        </w:tabs>
        <w:ind w:left="5760" w:hanging="360"/>
      </w:pPr>
      <w:rPr>
        <w:rFonts w:ascii="Wingdings" w:hAnsi="Wingdings" w:hint="default"/>
      </w:rPr>
    </w:lvl>
    <w:lvl w:ilvl="8" w:tplc="FD44C0C4" w:tentative="1">
      <w:start w:val="1"/>
      <w:numFmt w:val="bullet"/>
      <w:lvlText w:val=""/>
      <w:lvlJc w:val="left"/>
      <w:pPr>
        <w:tabs>
          <w:tab w:val="num" w:pos="6480"/>
        </w:tabs>
        <w:ind w:left="6480" w:hanging="360"/>
      </w:pPr>
      <w:rPr>
        <w:rFonts w:ascii="Wingdings" w:hAnsi="Wingdings" w:hint="default"/>
      </w:rPr>
    </w:lvl>
  </w:abstractNum>
  <w:abstractNum w:abstractNumId="21">
    <w:nsid w:val="40F54210"/>
    <w:multiLevelType w:val="hybridMultilevel"/>
    <w:tmpl w:val="332CA4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25E61F3"/>
    <w:multiLevelType w:val="hybridMultilevel"/>
    <w:tmpl w:val="FC9EC8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47333B5C"/>
    <w:multiLevelType w:val="hybridMultilevel"/>
    <w:tmpl w:val="0C5226E8"/>
    <w:lvl w:ilvl="0" w:tplc="0408000D">
      <w:start w:val="1"/>
      <w:numFmt w:val="bullet"/>
      <w:lvlText w:val=""/>
      <w:lvlJc w:val="left"/>
      <w:pPr>
        <w:ind w:left="1211" w:hanging="360"/>
      </w:pPr>
      <w:rPr>
        <w:rFonts w:ascii="Wingdings" w:hAnsi="Wingding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49BA2749"/>
    <w:multiLevelType w:val="hybridMultilevel"/>
    <w:tmpl w:val="8AD0E874"/>
    <w:lvl w:ilvl="0" w:tplc="414EE276">
      <w:start w:val="1"/>
      <w:numFmt w:val="bullet"/>
      <w:lvlText w:val="-"/>
      <w:lvlJc w:val="left"/>
      <w:pPr>
        <w:tabs>
          <w:tab w:val="num" w:pos="720"/>
        </w:tabs>
        <w:ind w:left="720" w:hanging="360"/>
      </w:pPr>
      <w:rPr>
        <w:rFonts w:ascii="Times" w:hAnsi="Times" w:hint="default"/>
      </w:rPr>
    </w:lvl>
    <w:lvl w:ilvl="1" w:tplc="82207F56" w:tentative="1">
      <w:start w:val="1"/>
      <w:numFmt w:val="bullet"/>
      <w:lvlText w:val="-"/>
      <w:lvlJc w:val="left"/>
      <w:pPr>
        <w:tabs>
          <w:tab w:val="num" w:pos="1440"/>
        </w:tabs>
        <w:ind w:left="1440" w:hanging="360"/>
      </w:pPr>
      <w:rPr>
        <w:rFonts w:ascii="Times" w:hAnsi="Times" w:hint="default"/>
      </w:rPr>
    </w:lvl>
    <w:lvl w:ilvl="2" w:tplc="9906EBEC" w:tentative="1">
      <w:start w:val="1"/>
      <w:numFmt w:val="bullet"/>
      <w:lvlText w:val="-"/>
      <w:lvlJc w:val="left"/>
      <w:pPr>
        <w:tabs>
          <w:tab w:val="num" w:pos="2160"/>
        </w:tabs>
        <w:ind w:left="2160" w:hanging="360"/>
      </w:pPr>
      <w:rPr>
        <w:rFonts w:ascii="Times" w:hAnsi="Times" w:hint="default"/>
      </w:rPr>
    </w:lvl>
    <w:lvl w:ilvl="3" w:tplc="610437C8" w:tentative="1">
      <w:start w:val="1"/>
      <w:numFmt w:val="bullet"/>
      <w:lvlText w:val="-"/>
      <w:lvlJc w:val="left"/>
      <w:pPr>
        <w:tabs>
          <w:tab w:val="num" w:pos="2880"/>
        </w:tabs>
        <w:ind w:left="2880" w:hanging="360"/>
      </w:pPr>
      <w:rPr>
        <w:rFonts w:ascii="Times" w:hAnsi="Times" w:hint="default"/>
      </w:rPr>
    </w:lvl>
    <w:lvl w:ilvl="4" w:tplc="410A8522" w:tentative="1">
      <w:start w:val="1"/>
      <w:numFmt w:val="bullet"/>
      <w:lvlText w:val="-"/>
      <w:lvlJc w:val="left"/>
      <w:pPr>
        <w:tabs>
          <w:tab w:val="num" w:pos="3600"/>
        </w:tabs>
        <w:ind w:left="3600" w:hanging="360"/>
      </w:pPr>
      <w:rPr>
        <w:rFonts w:ascii="Times" w:hAnsi="Times" w:hint="default"/>
      </w:rPr>
    </w:lvl>
    <w:lvl w:ilvl="5" w:tplc="F6C0CD2A" w:tentative="1">
      <w:start w:val="1"/>
      <w:numFmt w:val="bullet"/>
      <w:lvlText w:val="-"/>
      <w:lvlJc w:val="left"/>
      <w:pPr>
        <w:tabs>
          <w:tab w:val="num" w:pos="4320"/>
        </w:tabs>
        <w:ind w:left="4320" w:hanging="360"/>
      </w:pPr>
      <w:rPr>
        <w:rFonts w:ascii="Times" w:hAnsi="Times" w:hint="default"/>
      </w:rPr>
    </w:lvl>
    <w:lvl w:ilvl="6" w:tplc="76CCFC5A" w:tentative="1">
      <w:start w:val="1"/>
      <w:numFmt w:val="bullet"/>
      <w:lvlText w:val="-"/>
      <w:lvlJc w:val="left"/>
      <w:pPr>
        <w:tabs>
          <w:tab w:val="num" w:pos="5040"/>
        </w:tabs>
        <w:ind w:left="5040" w:hanging="360"/>
      </w:pPr>
      <w:rPr>
        <w:rFonts w:ascii="Times" w:hAnsi="Times" w:hint="default"/>
      </w:rPr>
    </w:lvl>
    <w:lvl w:ilvl="7" w:tplc="B386B48E" w:tentative="1">
      <w:start w:val="1"/>
      <w:numFmt w:val="bullet"/>
      <w:lvlText w:val="-"/>
      <w:lvlJc w:val="left"/>
      <w:pPr>
        <w:tabs>
          <w:tab w:val="num" w:pos="5760"/>
        </w:tabs>
        <w:ind w:left="5760" w:hanging="360"/>
      </w:pPr>
      <w:rPr>
        <w:rFonts w:ascii="Times" w:hAnsi="Times" w:hint="default"/>
      </w:rPr>
    </w:lvl>
    <w:lvl w:ilvl="8" w:tplc="5838DA5E" w:tentative="1">
      <w:start w:val="1"/>
      <w:numFmt w:val="bullet"/>
      <w:lvlText w:val="-"/>
      <w:lvlJc w:val="left"/>
      <w:pPr>
        <w:tabs>
          <w:tab w:val="num" w:pos="6480"/>
        </w:tabs>
        <w:ind w:left="6480" w:hanging="360"/>
      </w:pPr>
      <w:rPr>
        <w:rFonts w:ascii="Times" w:hAnsi="Times" w:hint="default"/>
      </w:rPr>
    </w:lvl>
  </w:abstractNum>
  <w:abstractNum w:abstractNumId="25">
    <w:nsid w:val="4A0C7B8D"/>
    <w:multiLevelType w:val="hybridMultilevel"/>
    <w:tmpl w:val="28581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E427149"/>
    <w:multiLevelType w:val="hybridMultilevel"/>
    <w:tmpl w:val="008EAC0C"/>
    <w:lvl w:ilvl="0" w:tplc="39A6188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5172707"/>
    <w:multiLevelType w:val="hybridMultilevel"/>
    <w:tmpl w:val="5F36196C"/>
    <w:lvl w:ilvl="0" w:tplc="B2C823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194AA6"/>
    <w:multiLevelType w:val="hybridMultilevel"/>
    <w:tmpl w:val="29E811D0"/>
    <w:lvl w:ilvl="0" w:tplc="D2B60BD2">
      <w:start w:val="1"/>
      <w:numFmt w:val="bullet"/>
      <w:lvlText w:val=""/>
      <w:lvlJc w:val="left"/>
      <w:pPr>
        <w:tabs>
          <w:tab w:val="num" w:pos="720"/>
        </w:tabs>
        <w:ind w:left="720" w:hanging="360"/>
      </w:pPr>
      <w:rPr>
        <w:rFonts w:ascii="Wingdings" w:hAnsi="Wingdings" w:hint="default"/>
      </w:rPr>
    </w:lvl>
    <w:lvl w:ilvl="1" w:tplc="F0BCE54A" w:tentative="1">
      <w:start w:val="1"/>
      <w:numFmt w:val="bullet"/>
      <w:lvlText w:val=""/>
      <w:lvlJc w:val="left"/>
      <w:pPr>
        <w:tabs>
          <w:tab w:val="num" w:pos="1440"/>
        </w:tabs>
        <w:ind w:left="1440" w:hanging="360"/>
      </w:pPr>
      <w:rPr>
        <w:rFonts w:ascii="Wingdings" w:hAnsi="Wingdings" w:hint="default"/>
      </w:rPr>
    </w:lvl>
    <w:lvl w:ilvl="2" w:tplc="FDFA0CBE" w:tentative="1">
      <w:start w:val="1"/>
      <w:numFmt w:val="bullet"/>
      <w:lvlText w:val=""/>
      <w:lvlJc w:val="left"/>
      <w:pPr>
        <w:tabs>
          <w:tab w:val="num" w:pos="2160"/>
        </w:tabs>
        <w:ind w:left="2160" w:hanging="360"/>
      </w:pPr>
      <w:rPr>
        <w:rFonts w:ascii="Wingdings" w:hAnsi="Wingdings" w:hint="default"/>
      </w:rPr>
    </w:lvl>
    <w:lvl w:ilvl="3" w:tplc="2E54DB7A" w:tentative="1">
      <w:start w:val="1"/>
      <w:numFmt w:val="bullet"/>
      <w:lvlText w:val=""/>
      <w:lvlJc w:val="left"/>
      <w:pPr>
        <w:tabs>
          <w:tab w:val="num" w:pos="2880"/>
        </w:tabs>
        <w:ind w:left="2880" w:hanging="360"/>
      </w:pPr>
      <w:rPr>
        <w:rFonts w:ascii="Wingdings" w:hAnsi="Wingdings" w:hint="default"/>
      </w:rPr>
    </w:lvl>
    <w:lvl w:ilvl="4" w:tplc="95E4DDC4" w:tentative="1">
      <w:start w:val="1"/>
      <w:numFmt w:val="bullet"/>
      <w:lvlText w:val=""/>
      <w:lvlJc w:val="left"/>
      <w:pPr>
        <w:tabs>
          <w:tab w:val="num" w:pos="3600"/>
        </w:tabs>
        <w:ind w:left="3600" w:hanging="360"/>
      </w:pPr>
      <w:rPr>
        <w:rFonts w:ascii="Wingdings" w:hAnsi="Wingdings" w:hint="default"/>
      </w:rPr>
    </w:lvl>
    <w:lvl w:ilvl="5" w:tplc="338A87A8" w:tentative="1">
      <w:start w:val="1"/>
      <w:numFmt w:val="bullet"/>
      <w:lvlText w:val=""/>
      <w:lvlJc w:val="left"/>
      <w:pPr>
        <w:tabs>
          <w:tab w:val="num" w:pos="4320"/>
        </w:tabs>
        <w:ind w:left="4320" w:hanging="360"/>
      </w:pPr>
      <w:rPr>
        <w:rFonts w:ascii="Wingdings" w:hAnsi="Wingdings" w:hint="default"/>
      </w:rPr>
    </w:lvl>
    <w:lvl w:ilvl="6" w:tplc="A6DEFBCE" w:tentative="1">
      <w:start w:val="1"/>
      <w:numFmt w:val="bullet"/>
      <w:lvlText w:val=""/>
      <w:lvlJc w:val="left"/>
      <w:pPr>
        <w:tabs>
          <w:tab w:val="num" w:pos="5040"/>
        </w:tabs>
        <w:ind w:left="5040" w:hanging="360"/>
      </w:pPr>
      <w:rPr>
        <w:rFonts w:ascii="Wingdings" w:hAnsi="Wingdings" w:hint="default"/>
      </w:rPr>
    </w:lvl>
    <w:lvl w:ilvl="7" w:tplc="B0344162" w:tentative="1">
      <w:start w:val="1"/>
      <w:numFmt w:val="bullet"/>
      <w:lvlText w:val=""/>
      <w:lvlJc w:val="left"/>
      <w:pPr>
        <w:tabs>
          <w:tab w:val="num" w:pos="5760"/>
        </w:tabs>
        <w:ind w:left="5760" w:hanging="360"/>
      </w:pPr>
      <w:rPr>
        <w:rFonts w:ascii="Wingdings" w:hAnsi="Wingdings" w:hint="default"/>
      </w:rPr>
    </w:lvl>
    <w:lvl w:ilvl="8" w:tplc="C2DADC04" w:tentative="1">
      <w:start w:val="1"/>
      <w:numFmt w:val="bullet"/>
      <w:lvlText w:val=""/>
      <w:lvlJc w:val="left"/>
      <w:pPr>
        <w:tabs>
          <w:tab w:val="num" w:pos="6480"/>
        </w:tabs>
        <w:ind w:left="6480" w:hanging="360"/>
      </w:pPr>
      <w:rPr>
        <w:rFonts w:ascii="Wingdings" w:hAnsi="Wingdings" w:hint="default"/>
      </w:rPr>
    </w:lvl>
  </w:abstractNum>
  <w:abstractNum w:abstractNumId="29">
    <w:nsid w:val="5BB1624A"/>
    <w:multiLevelType w:val="hybridMultilevel"/>
    <w:tmpl w:val="01B867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C5F7504"/>
    <w:multiLevelType w:val="hybridMultilevel"/>
    <w:tmpl w:val="D832AFE8"/>
    <w:lvl w:ilvl="0" w:tplc="0408000F">
      <w:start w:val="1"/>
      <w:numFmt w:val="decimal"/>
      <w:lvlText w:val="%1."/>
      <w:lvlJc w:val="left"/>
      <w:pPr>
        <w:tabs>
          <w:tab w:val="num" w:pos="1174"/>
        </w:tabs>
        <w:ind w:left="1174" w:hanging="360"/>
      </w:pPr>
    </w:lvl>
    <w:lvl w:ilvl="1" w:tplc="04080013">
      <w:start w:val="1"/>
      <w:numFmt w:val="upperRoman"/>
      <w:lvlText w:val="%2."/>
      <w:lvlJc w:val="right"/>
      <w:pPr>
        <w:tabs>
          <w:tab w:val="num" w:pos="1714"/>
        </w:tabs>
        <w:ind w:left="1714" w:hanging="180"/>
      </w:pPr>
    </w:lvl>
    <w:lvl w:ilvl="2" w:tplc="0408001B" w:tentative="1">
      <w:start w:val="1"/>
      <w:numFmt w:val="lowerRoman"/>
      <w:lvlText w:val="%3."/>
      <w:lvlJc w:val="right"/>
      <w:pPr>
        <w:tabs>
          <w:tab w:val="num" w:pos="2614"/>
        </w:tabs>
        <w:ind w:left="2614" w:hanging="180"/>
      </w:pPr>
    </w:lvl>
    <w:lvl w:ilvl="3" w:tplc="0408000F" w:tentative="1">
      <w:start w:val="1"/>
      <w:numFmt w:val="decimal"/>
      <w:lvlText w:val="%4."/>
      <w:lvlJc w:val="left"/>
      <w:pPr>
        <w:tabs>
          <w:tab w:val="num" w:pos="3334"/>
        </w:tabs>
        <w:ind w:left="3334" w:hanging="360"/>
      </w:pPr>
    </w:lvl>
    <w:lvl w:ilvl="4" w:tplc="04080019" w:tentative="1">
      <w:start w:val="1"/>
      <w:numFmt w:val="lowerLetter"/>
      <w:lvlText w:val="%5."/>
      <w:lvlJc w:val="left"/>
      <w:pPr>
        <w:tabs>
          <w:tab w:val="num" w:pos="4054"/>
        </w:tabs>
        <w:ind w:left="4054" w:hanging="360"/>
      </w:pPr>
    </w:lvl>
    <w:lvl w:ilvl="5" w:tplc="0408001B" w:tentative="1">
      <w:start w:val="1"/>
      <w:numFmt w:val="lowerRoman"/>
      <w:lvlText w:val="%6."/>
      <w:lvlJc w:val="right"/>
      <w:pPr>
        <w:tabs>
          <w:tab w:val="num" w:pos="4774"/>
        </w:tabs>
        <w:ind w:left="4774" w:hanging="180"/>
      </w:pPr>
    </w:lvl>
    <w:lvl w:ilvl="6" w:tplc="0408000F" w:tentative="1">
      <w:start w:val="1"/>
      <w:numFmt w:val="decimal"/>
      <w:lvlText w:val="%7."/>
      <w:lvlJc w:val="left"/>
      <w:pPr>
        <w:tabs>
          <w:tab w:val="num" w:pos="5494"/>
        </w:tabs>
        <w:ind w:left="5494" w:hanging="360"/>
      </w:pPr>
    </w:lvl>
    <w:lvl w:ilvl="7" w:tplc="04080019" w:tentative="1">
      <w:start w:val="1"/>
      <w:numFmt w:val="lowerLetter"/>
      <w:lvlText w:val="%8."/>
      <w:lvlJc w:val="left"/>
      <w:pPr>
        <w:tabs>
          <w:tab w:val="num" w:pos="6214"/>
        </w:tabs>
        <w:ind w:left="6214" w:hanging="360"/>
      </w:pPr>
    </w:lvl>
    <w:lvl w:ilvl="8" w:tplc="0408001B" w:tentative="1">
      <w:start w:val="1"/>
      <w:numFmt w:val="lowerRoman"/>
      <w:lvlText w:val="%9."/>
      <w:lvlJc w:val="right"/>
      <w:pPr>
        <w:tabs>
          <w:tab w:val="num" w:pos="6934"/>
        </w:tabs>
        <w:ind w:left="6934" w:hanging="180"/>
      </w:pPr>
    </w:lvl>
  </w:abstractNum>
  <w:abstractNum w:abstractNumId="31">
    <w:nsid w:val="5CA147A0"/>
    <w:multiLevelType w:val="hybridMultilevel"/>
    <w:tmpl w:val="3190BD0C"/>
    <w:lvl w:ilvl="0" w:tplc="E4763C3C">
      <w:start w:val="1"/>
      <w:numFmt w:val="bullet"/>
      <w:lvlText w:val="•"/>
      <w:lvlJc w:val="left"/>
      <w:pPr>
        <w:tabs>
          <w:tab w:val="num" w:pos="720"/>
        </w:tabs>
        <w:ind w:left="720" w:hanging="360"/>
      </w:pPr>
      <w:rPr>
        <w:rFonts w:ascii="Arial" w:hAnsi="Arial" w:hint="default"/>
      </w:rPr>
    </w:lvl>
    <w:lvl w:ilvl="1" w:tplc="46B63E5C" w:tentative="1">
      <w:start w:val="1"/>
      <w:numFmt w:val="bullet"/>
      <w:lvlText w:val="•"/>
      <w:lvlJc w:val="left"/>
      <w:pPr>
        <w:tabs>
          <w:tab w:val="num" w:pos="1440"/>
        </w:tabs>
        <w:ind w:left="1440" w:hanging="360"/>
      </w:pPr>
      <w:rPr>
        <w:rFonts w:ascii="Arial" w:hAnsi="Arial" w:hint="default"/>
      </w:rPr>
    </w:lvl>
    <w:lvl w:ilvl="2" w:tplc="D5F4847C" w:tentative="1">
      <w:start w:val="1"/>
      <w:numFmt w:val="bullet"/>
      <w:lvlText w:val="•"/>
      <w:lvlJc w:val="left"/>
      <w:pPr>
        <w:tabs>
          <w:tab w:val="num" w:pos="2160"/>
        </w:tabs>
        <w:ind w:left="2160" w:hanging="360"/>
      </w:pPr>
      <w:rPr>
        <w:rFonts w:ascii="Arial" w:hAnsi="Arial" w:hint="default"/>
      </w:rPr>
    </w:lvl>
    <w:lvl w:ilvl="3" w:tplc="048E35B6" w:tentative="1">
      <w:start w:val="1"/>
      <w:numFmt w:val="bullet"/>
      <w:lvlText w:val="•"/>
      <w:lvlJc w:val="left"/>
      <w:pPr>
        <w:tabs>
          <w:tab w:val="num" w:pos="2880"/>
        </w:tabs>
        <w:ind w:left="2880" w:hanging="360"/>
      </w:pPr>
      <w:rPr>
        <w:rFonts w:ascii="Arial" w:hAnsi="Arial" w:hint="default"/>
      </w:rPr>
    </w:lvl>
    <w:lvl w:ilvl="4" w:tplc="D750BA4C" w:tentative="1">
      <w:start w:val="1"/>
      <w:numFmt w:val="bullet"/>
      <w:lvlText w:val="•"/>
      <w:lvlJc w:val="left"/>
      <w:pPr>
        <w:tabs>
          <w:tab w:val="num" w:pos="3600"/>
        </w:tabs>
        <w:ind w:left="3600" w:hanging="360"/>
      </w:pPr>
      <w:rPr>
        <w:rFonts w:ascii="Arial" w:hAnsi="Arial" w:hint="default"/>
      </w:rPr>
    </w:lvl>
    <w:lvl w:ilvl="5" w:tplc="8772A6F0" w:tentative="1">
      <w:start w:val="1"/>
      <w:numFmt w:val="bullet"/>
      <w:lvlText w:val="•"/>
      <w:lvlJc w:val="left"/>
      <w:pPr>
        <w:tabs>
          <w:tab w:val="num" w:pos="4320"/>
        </w:tabs>
        <w:ind w:left="4320" w:hanging="360"/>
      </w:pPr>
      <w:rPr>
        <w:rFonts w:ascii="Arial" w:hAnsi="Arial" w:hint="default"/>
      </w:rPr>
    </w:lvl>
    <w:lvl w:ilvl="6" w:tplc="AE6E437A" w:tentative="1">
      <w:start w:val="1"/>
      <w:numFmt w:val="bullet"/>
      <w:lvlText w:val="•"/>
      <w:lvlJc w:val="left"/>
      <w:pPr>
        <w:tabs>
          <w:tab w:val="num" w:pos="5040"/>
        </w:tabs>
        <w:ind w:left="5040" w:hanging="360"/>
      </w:pPr>
      <w:rPr>
        <w:rFonts w:ascii="Arial" w:hAnsi="Arial" w:hint="default"/>
      </w:rPr>
    </w:lvl>
    <w:lvl w:ilvl="7" w:tplc="F74016B4" w:tentative="1">
      <w:start w:val="1"/>
      <w:numFmt w:val="bullet"/>
      <w:lvlText w:val="•"/>
      <w:lvlJc w:val="left"/>
      <w:pPr>
        <w:tabs>
          <w:tab w:val="num" w:pos="5760"/>
        </w:tabs>
        <w:ind w:left="5760" w:hanging="360"/>
      </w:pPr>
      <w:rPr>
        <w:rFonts w:ascii="Arial" w:hAnsi="Arial" w:hint="default"/>
      </w:rPr>
    </w:lvl>
    <w:lvl w:ilvl="8" w:tplc="6EC2AAB6" w:tentative="1">
      <w:start w:val="1"/>
      <w:numFmt w:val="bullet"/>
      <w:lvlText w:val="•"/>
      <w:lvlJc w:val="left"/>
      <w:pPr>
        <w:tabs>
          <w:tab w:val="num" w:pos="6480"/>
        </w:tabs>
        <w:ind w:left="6480" w:hanging="360"/>
      </w:pPr>
      <w:rPr>
        <w:rFonts w:ascii="Arial" w:hAnsi="Arial" w:hint="default"/>
      </w:rPr>
    </w:lvl>
  </w:abstractNum>
  <w:abstractNum w:abstractNumId="32">
    <w:nsid w:val="5DE15B98"/>
    <w:multiLevelType w:val="hybridMultilevel"/>
    <w:tmpl w:val="26A2A2A8"/>
    <w:lvl w:ilvl="0" w:tplc="0409000D">
      <w:start w:val="1"/>
      <w:numFmt w:val="bullet"/>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nsid w:val="5EDA1867"/>
    <w:multiLevelType w:val="hybridMultilevel"/>
    <w:tmpl w:val="A1AE2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63018DF"/>
    <w:multiLevelType w:val="hybridMultilevel"/>
    <w:tmpl w:val="720833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D2508D"/>
    <w:multiLevelType w:val="hybridMultilevel"/>
    <w:tmpl w:val="6BBC6B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2BA27FD"/>
    <w:multiLevelType w:val="hybridMultilevel"/>
    <w:tmpl w:val="8B42E59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5E53153"/>
    <w:multiLevelType w:val="hybridMultilevel"/>
    <w:tmpl w:val="795632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BBE7AEB"/>
    <w:multiLevelType w:val="hybridMultilevel"/>
    <w:tmpl w:val="A1EC7CA8"/>
    <w:lvl w:ilvl="0" w:tplc="B3544FB0">
      <w:start w:val="1"/>
      <w:numFmt w:val="bullet"/>
      <w:lvlText w:val="•"/>
      <w:lvlJc w:val="left"/>
      <w:pPr>
        <w:tabs>
          <w:tab w:val="num" w:pos="720"/>
        </w:tabs>
        <w:ind w:left="720" w:hanging="360"/>
      </w:pPr>
      <w:rPr>
        <w:rFonts w:ascii="Arial" w:hAnsi="Arial" w:hint="default"/>
      </w:rPr>
    </w:lvl>
    <w:lvl w:ilvl="1" w:tplc="A7AE2A2E" w:tentative="1">
      <w:start w:val="1"/>
      <w:numFmt w:val="bullet"/>
      <w:lvlText w:val="•"/>
      <w:lvlJc w:val="left"/>
      <w:pPr>
        <w:tabs>
          <w:tab w:val="num" w:pos="1440"/>
        </w:tabs>
        <w:ind w:left="1440" w:hanging="360"/>
      </w:pPr>
      <w:rPr>
        <w:rFonts w:ascii="Arial" w:hAnsi="Arial" w:hint="default"/>
      </w:rPr>
    </w:lvl>
    <w:lvl w:ilvl="2" w:tplc="AECC73A6" w:tentative="1">
      <w:start w:val="1"/>
      <w:numFmt w:val="bullet"/>
      <w:lvlText w:val="•"/>
      <w:lvlJc w:val="left"/>
      <w:pPr>
        <w:tabs>
          <w:tab w:val="num" w:pos="2160"/>
        </w:tabs>
        <w:ind w:left="2160" w:hanging="360"/>
      </w:pPr>
      <w:rPr>
        <w:rFonts w:ascii="Arial" w:hAnsi="Arial" w:hint="default"/>
      </w:rPr>
    </w:lvl>
    <w:lvl w:ilvl="3" w:tplc="03DA3876" w:tentative="1">
      <w:start w:val="1"/>
      <w:numFmt w:val="bullet"/>
      <w:lvlText w:val="•"/>
      <w:lvlJc w:val="left"/>
      <w:pPr>
        <w:tabs>
          <w:tab w:val="num" w:pos="2880"/>
        </w:tabs>
        <w:ind w:left="2880" w:hanging="360"/>
      </w:pPr>
      <w:rPr>
        <w:rFonts w:ascii="Arial" w:hAnsi="Arial" w:hint="default"/>
      </w:rPr>
    </w:lvl>
    <w:lvl w:ilvl="4" w:tplc="5D4CC55E" w:tentative="1">
      <w:start w:val="1"/>
      <w:numFmt w:val="bullet"/>
      <w:lvlText w:val="•"/>
      <w:lvlJc w:val="left"/>
      <w:pPr>
        <w:tabs>
          <w:tab w:val="num" w:pos="3600"/>
        </w:tabs>
        <w:ind w:left="3600" w:hanging="360"/>
      </w:pPr>
      <w:rPr>
        <w:rFonts w:ascii="Arial" w:hAnsi="Arial" w:hint="default"/>
      </w:rPr>
    </w:lvl>
    <w:lvl w:ilvl="5" w:tplc="2558FD34" w:tentative="1">
      <w:start w:val="1"/>
      <w:numFmt w:val="bullet"/>
      <w:lvlText w:val="•"/>
      <w:lvlJc w:val="left"/>
      <w:pPr>
        <w:tabs>
          <w:tab w:val="num" w:pos="4320"/>
        </w:tabs>
        <w:ind w:left="4320" w:hanging="360"/>
      </w:pPr>
      <w:rPr>
        <w:rFonts w:ascii="Arial" w:hAnsi="Arial" w:hint="default"/>
      </w:rPr>
    </w:lvl>
    <w:lvl w:ilvl="6" w:tplc="71CADCDA" w:tentative="1">
      <w:start w:val="1"/>
      <w:numFmt w:val="bullet"/>
      <w:lvlText w:val="•"/>
      <w:lvlJc w:val="left"/>
      <w:pPr>
        <w:tabs>
          <w:tab w:val="num" w:pos="5040"/>
        </w:tabs>
        <w:ind w:left="5040" w:hanging="360"/>
      </w:pPr>
      <w:rPr>
        <w:rFonts w:ascii="Arial" w:hAnsi="Arial" w:hint="default"/>
      </w:rPr>
    </w:lvl>
    <w:lvl w:ilvl="7" w:tplc="50D67506" w:tentative="1">
      <w:start w:val="1"/>
      <w:numFmt w:val="bullet"/>
      <w:lvlText w:val="•"/>
      <w:lvlJc w:val="left"/>
      <w:pPr>
        <w:tabs>
          <w:tab w:val="num" w:pos="5760"/>
        </w:tabs>
        <w:ind w:left="5760" w:hanging="360"/>
      </w:pPr>
      <w:rPr>
        <w:rFonts w:ascii="Arial" w:hAnsi="Arial" w:hint="default"/>
      </w:rPr>
    </w:lvl>
    <w:lvl w:ilvl="8" w:tplc="D6AE659A"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9"/>
  </w:num>
  <w:num w:numId="3">
    <w:abstractNumId w:val="12"/>
  </w:num>
  <w:num w:numId="4">
    <w:abstractNumId w:val="32"/>
  </w:num>
  <w:num w:numId="5">
    <w:abstractNumId w:val="23"/>
  </w:num>
  <w:num w:numId="6">
    <w:abstractNumId w:val="2"/>
  </w:num>
  <w:num w:numId="7">
    <w:abstractNumId w:val="22"/>
  </w:num>
  <w:num w:numId="8">
    <w:abstractNumId w:val="16"/>
  </w:num>
  <w:num w:numId="9">
    <w:abstractNumId w:val="27"/>
  </w:num>
  <w:num w:numId="10">
    <w:abstractNumId w:val="24"/>
  </w:num>
  <w:num w:numId="11">
    <w:abstractNumId w:val="31"/>
  </w:num>
  <w:num w:numId="12">
    <w:abstractNumId w:val="14"/>
  </w:num>
  <w:num w:numId="13">
    <w:abstractNumId w:val="19"/>
  </w:num>
  <w:num w:numId="14">
    <w:abstractNumId w:val="3"/>
  </w:num>
  <w:num w:numId="15">
    <w:abstractNumId w:val="20"/>
  </w:num>
  <w:num w:numId="16">
    <w:abstractNumId w:val="28"/>
  </w:num>
  <w:num w:numId="17">
    <w:abstractNumId w:val="1"/>
  </w:num>
  <w:num w:numId="18">
    <w:abstractNumId w:val="8"/>
  </w:num>
  <w:num w:numId="19">
    <w:abstractNumId w:val="26"/>
  </w:num>
  <w:num w:numId="20">
    <w:abstractNumId w:val="35"/>
  </w:num>
  <w:num w:numId="21">
    <w:abstractNumId w:val="37"/>
  </w:num>
  <w:num w:numId="22">
    <w:abstractNumId w:val="7"/>
  </w:num>
  <w:num w:numId="23">
    <w:abstractNumId w:val="15"/>
  </w:num>
  <w:num w:numId="24">
    <w:abstractNumId w:val="21"/>
  </w:num>
  <w:num w:numId="25">
    <w:abstractNumId w:val="11"/>
  </w:num>
  <w:num w:numId="26">
    <w:abstractNumId w:val="33"/>
  </w:num>
  <w:num w:numId="27">
    <w:abstractNumId w:val="30"/>
  </w:num>
  <w:num w:numId="28">
    <w:abstractNumId w:val="5"/>
  </w:num>
  <w:num w:numId="29">
    <w:abstractNumId w:val="0"/>
  </w:num>
  <w:num w:numId="30">
    <w:abstractNumId w:val="38"/>
  </w:num>
  <w:num w:numId="31">
    <w:abstractNumId w:val="6"/>
  </w:num>
  <w:num w:numId="32">
    <w:abstractNumId w:val="25"/>
  </w:num>
  <w:num w:numId="33">
    <w:abstractNumId w:val="36"/>
  </w:num>
  <w:num w:numId="34">
    <w:abstractNumId w:val="18"/>
  </w:num>
  <w:num w:numId="35">
    <w:abstractNumId w:val="17"/>
  </w:num>
  <w:num w:numId="36">
    <w:abstractNumId w:val="4"/>
  </w:num>
  <w:num w:numId="37">
    <w:abstractNumId w:val="10"/>
  </w:num>
  <w:num w:numId="38">
    <w:abstractNumId w:val="29"/>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71"/>
    <w:rsid w:val="00010C46"/>
    <w:rsid w:val="00014202"/>
    <w:rsid w:val="0002263C"/>
    <w:rsid w:val="00031472"/>
    <w:rsid w:val="0006000E"/>
    <w:rsid w:val="000624CC"/>
    <w:rsid w:val="00066FE0"/>
    <w:rsid w:val="00075418"/>
    <w:rsid w:val="000803F2"/>
    <w:rsid w:val="0009649D"/>
    <w:rsid w:val="000D081D"/>
    <w:rsid w:val="000D3204"/>
    <w:rsid w:val="000E1AEF"/>
    <w:rsid w:val="000F1DB1"/>
    <w:rsid w:val="000F6ECA"/>
    <w:rsid w:val="00103AAF"/>
    <w:rsid w:val="00111E8C"/>
    <w:rsid w:val="00144327"/>
    <w:rsid w:val="00146F21"/>
    <w:rsid w:val="00147498"/>
    <w:rsid w:val="00164042"/>
    <w:rsid w:val="001640F7"/>
    <w:rsid w:val="001D3E2E"/>
    <w:rsid w:val="001E1EB6"/>
    <w:rsid w:val="001E208D"/>
    <w:rsid w:val="001E2CD6"/>
    <w:rsid w:val="00203C29"/>
    <w:rsid w:val="00210B99"/>
    <w:rsid w:val="00214CD9"/>
    <w:rsid w:val="002201A6"/>
    <w:rsid w:val="002228B6"/>
    <w:rsid w:val="002228F5"/>
    <w:rsid w:val="00231A95"/>
    <w:rsid w:val="00244375"/>
    <w:rsid w:val="00253A95"/>
    <w:rsid w:val="00257B88"/>
    <w:rsid w:val="00262818"/>
    <w:rsid w:val="00285DC1"/>
    <w:rsid w:val="002A446B"/>
    <w:rsid w:val="002A747E"/>
    <w:rsid w:val="002D65ED"/>
    <w:rsid w:val="002E6C34"/>
    <w:rsid w:val="002F6EE7"/>
    <w:rsid w:val="00300F5C"/>
    <w:rsid w:val="003170F0"/>
    <w:rsid w:val="003179C9"/>
    <w:rsid w:val="0032264A"/>
    <w:rsid w:val="0033768E"/>
    <w:rsid w:val="003542B4"/>
    <w:rsid w:val="00363E19"/>
    <w:rsid w:val="00387582"/>
    <w:rsid w:val="00387877"/>
    <w:rsid w:val="003B4A70"/>
    <w:rsid w:val="003B555C"/>
    <w:rsid w:val="003B641D"/>
    <w:rsid w:val="003B746E"/>
    <w:rsid w:val="003D7EDA"/>
    <w:rsid w:val="003F6E61"/>
    <w:rsid w:val="00422ED6"/>
    <w:rsid w:val="00423498"/>
    <w:rsid w:val="00434D00"/>
    <w:rsid w:val="0043653B"/>
    <w:rsid w:val="00437738"/>
    <w:rsid w:val="00444D05"/>
    <w:rsid w:val="004708EC"/>
    <w:rsid w:val="00485A3A"/>
    <w:rsid w:val="004A1662"/>
    <w:rsid w:val="004F0BF0"/>
    <w:rsid w:val="00504895"/>
    <w:rsid w:val="00527B83"/>
    <w:rsid w:val="00554552"/>
    <w:rsid w:val="00555DB5"/>
    <w:rsid w:val="005721DE"/>
    <w:rsid w:val="0058759C"/>
    <w:rsid w:val="00593C8E"/>
    <w:rsid w:val="005A403F"/>
    <w:rsid w:val="005C2D79"/>
    <w:rsid w:val="005C370E"/>
    <w:rsid w:val="005F47AE"/>
    <w:rsid w:val="00605595"/>
    <w:rsid w:val="00610B0E"/>
    <w:rsid w:val="00611F04"/>
    <w:rsid w:val="00614A7D"/>
    <w:rsid w:val="00614E6D"/>
    <w:rsid w:val="00624898"/>
    <w:rsid w:val="0063494E"/>
    <w:rsid w:val="00643542"/>
    <w:rsid w:val="00645377"/>
    <w:rsid w:val="00653609"/>
    <w:rsid w:val="006801A8"/>
    <w:rsid w:val="0068441D"/>
    <w:rsid w:val="00685652"/>
    <w:rsid w:val="006A6FAE"/>
    <w:rsid w:val="006C040D"/>
    <w:rsid w:val="006C5162"/>
    <w:rsid w:val="006E3747"/>
    <w:rsid w:val="006F4540"/>
    <w:rsid w:val="006F6473"/>
    <w:rsid w:val="007005B9"/>
    <w:rsid w:val="00711E28"/>
    <w:rsid w:val="00717225"/>
    <w:rsid w:val="00721542"/>
    <w:rsid w:val="00757352"/>
    <w:rsid w:val="00766465"/>
    <w:rsid w:val="007A31F7"/>
    <w:rsid w:val="007B7A16"/>
    <w:rsid w:val="007C35F6"/>
    <w:rsid w:val="007D4A4F"/>
    <w:rsid w:val="007D7CF9"/>
    <w:rsid w:val="007F4BCB"/>
    <w:rsid w:val="007F70A5"/>
    <w:rsid w:val="00802EF9"/>
    <w:rsid w:val="00827975"/>
    <w:rsid w:val="0083201E"/>
    <w:rsid w:val="00837AEF"/>
    <w:rsid w:val="008439DF"/>
    <w:rsid w:val="00853CFB"/>
    <w:rsid w:val="0088295E"/>
    <w:rsid w:val="00893E30"/>
    <w:rsid w:val="008A1EBF"/>
    <w:rsid w:val="008B25E8"/>
    <w:rsid w:val="008B4A13"/>
    <w:rsid w:val="008C72C2"/>
    <w:rsid w:val="008E5B1C"/>
    <w:rsid w:val="009119C3"/>
    <w:rsid w:val="00916506"/>
    <w:rsid w:val="009443E3"/>
    <w:rsid w:val="00956EE3"/>
    <w:rsid w:val="00960450"/>
    <w:rsid w:val="00981F57"/>
    <w:rsid w:val="00994D97"/>
    <w:rsid w:val="009A207A"/>
    <w:rsid w:val="009B4AFA"/>
    <w:rsid w:val="009B7BD7"/>
    <w:rsid w:val="009C2DB1"/>
    <w:rsid w:val="009D346C"/>
    <w:rsid w:val="00A141F0"/>
    <w:rsid w:val="00A17FEE"/>
    <w:rsid w:val="00A305E9"/>
    <w:rsid w:val="00A36F3A"/>
    <w:rsid w:val="00A46E59"/>
    <w:rsid w:val="00A47A74"/>
    <w:rsid w:val="00A527F9"/>
    <w:rsid w:val="00A55A67"/>
    <w:rsid w:val="00A57079"/>
    <w:rsid w:val="00A65587"/>
    <w:rsid w:val="00A72A3E"/>
    <w:rsid w:val="00A81FF0"/>
    <w:rsid w:val="00A92DA0"/>
    <w:rsid w:val="00AB65CD"/>
    <w:rsid w:val="00AB6FD9"/>
    <w:rsid w:val="00AC3725"/>
    <w:rsid w:val="00AD3315"/>
    <w:rsid w:val="00AD684B"/>
    <w:rsid w:val="00AE4081"/>
    <w:rsid w:val="00AE47B1"/>
    <w:rsid w:val="00AF23FC"/>
    <w:rsid w:val="00AF4204"/>
    <w:rsid w:val="00B20A0B"/>
    <w:rsid w:val="00B2349F"/>
    <w:rsid w:val="00B34871"/>
    <w:rsid w:val="00B45703"/>
    <w:rsid w:val="00B47765"/>
    <w:rsid w:val="00B64E10"/>
    <w:rsid w:val="00B83221"/>
    <w:rsid w:val="00B90740"/>
    <w:rsid w:val="00B91FB1"/>
    <w:rsid w:val="00B92A3C"/>
    <w:rsid w:val="00BB47C7"/>
    <w:rsid w:val="00BC70BF"/>
    <w:rsid w:val="00BD5DDD"/>
    <w:rsid w:val="00BD60A9"/>
    <w:rsid w:val="00BD7106"/>
    <w:rsid w:val="00BF1E88"/>
    <w:rsid w:val="00BF2C16"/>
    <w:rsid w:val="00BF58C8"/>
    <w:rsid w:val="00C00D72"/>
    <w:rsid w:val="00C14703"/>
    <w:rsid w:val="00C25BDD"/>
    <w:rsid w:val="00C47546"/>
    <w:rsid w:val="00C6496C"/>
    <w:rsid w:val="00C64C41"/>
    <w:rsid w:val="00C64E79"/>
    <w:rsid w:val="00C70D58"/>
    <w:rsid w:val="00C8159E"/>
    <w:rsid w:val="00C9237D"/>
    <w:rsid w:val="00CA7FE2"/>
    <w:rsid w:val="00CC38EF"/>
    <w:rsid w:val="00CC4DA4"/>
    <w:rsid w:val="00CC6947"/>
    <w:rsid w:val="00CD0AB1"/>
    <w:rsid w:val="00CE27BF"/>
    <w:rsid w:val="00D156B3"/>
    <w:rsid w:val="00D378AF"/>
    <w:rsid w:val="00D43A5B"/>
    <w:rsid w:val="00D464AE"/>
    <w:rsid w:val="00D601C7"/>
    <w:rsid w:val="00D65D52"/>
    <w:rsid w:val="00DA09A0"/>
    <w:rsid w:val="00DA253F"/>
    <w:rsid w:val="00DB52EB"/>
    <w:rsid w:val="00DF29E9"/>
    <w:rsid w:val="00DF791C"/>
    <w:rsid w:val="00E0065B"/>
    <w:rsid w:val="00E17BC4"/>
    <w:rsid w:val="00E202D2"/>
    <w:rsid w:val="00E36135"/>
    <w:rsid w:val="00E535C1"/>
    <w:rsid w:val="00E6223A"/>
    <w:rsid w:val="00E710BA"/>
    <w:rsid w:val="00E75CA4"/>
    <w:rsid w:val="00E76070"/>
    <w:rsid w:val="00EA3BAA"/>
    <w:rsid w:val="00EA4B0C"/>
    <w:rsid w:val="00F02E71"/>
    <w:rsid w:val="00F046B0"/>
    <w:rsid w:val="00F44FB7"/>
    <w:rsid w:val="00F516D4"/>
    <w:rsid w:val="00F57A13"/>
    <w:rsid w:val="00F91B3D"/>
    <w:rsid w:val="00FA6703"/>
    <w:rsid w:val="00FC083F"/>
    <w:rsid w:val="00FC789E"/>
    <w:rsid w:val="00FD0C30"/>
    <w:rsid w:val="00FE2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6CD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E71"/>
    <w:rPr>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Left">
    <w:name w:val="Header-Left"/>
    <w:basedOn w:val="a"/>
    <w:rsid w:val="00F02E71"/>
    <w:pPr>
      <w:spacing w:before="1100"/>
      <w:ind w:left="43"/>
    </w:pPr>
    <w:rPr>
      <w:rFonts w:asciiTheme="majorHAnsi" w:eastAsiaTheme="majorEastAsia" w:hAnsiTheme="majorHAnsi" w:cstheme="majorBidi"/>
      <w:color w:val="C0504D" w:themeColor="accent2"/>
      <w:sz w:val="44"/>
    </w:rPr>
  </w:style>
  <w:style w:type="paragraph" w:customStyle="1" w:styleId="Header-Right">
    <w:name w:val="Header-Right"/>
    <w:basedOn w:val="a"/>
    <w:rsid w:val="00F02E71"/>
    <w:pPr>
      <w:spacing w:before="1000"/>
      <w:ind w:right="43"/>
      <w:jc w:val="right"/>
    </w:pPr>
    <w:rPr>
      <w:color w:val="A6A6A6" w:themeColor="background1" w:themeShade="A6"/>
      <w:sz w:val="68"/>
    </w:rPr>
  </w:style>
  <w:style w:type="paragraph" w:customStyle="1" w:styleId="NoSpaceBetween">
    <w:name w:val="No Space Between"/>
    <w:basedOn w:val="a"/>
    <w:rsid w:val="00F02E71"/>
    <w:rPr>
      <w:sz w:val="2"/>
    </w:rPr>
  </w:style>
  <w:style w:type="paragraph" w:styleId="a3">
    <w:name w:val="List Paragraph"/>
    <w:basedOn w:val="a"/>
    <w:link w:val="Char"/>
    <w:uiPriority w:val="34"/>
    <w:qFormat/>
    <w:rsid w:val="00257B88"/>
    <w:pPr>
      <w:ind w:left="720"/>
      <w:contextualSpacing/>
    </w:pPr>
    <w:rPr>
      <w:rFonts w:eastAsiaTheme="minorHAnsi"/>
      <w:sz w:val="22"/>
      <w:lang w:val="el-GR"/>
    </w:rPr>
  </w:style>
  <w:style w:type="paragraph" w:customStyle="1" w:styleId="Default">
    <w:name w:val="Default"/>
    <w:rsid w:val="00257B88"/>
    <w:pPr>
      <w:autoSpaceDE w:val="0"/>
      <w:autoSpaceDN w:val="0"/>
      <w:adjustRightInd w:val="0"/>
    </w:pPr>
    <w:rPr>
      <w:rFonts w:ascii="Times New Roman" w:eastAsiaTheme="minorHAnsi" w:hAnsi="Times New Roman" w:cs="Times New Roman"/>
      <w:color w:val="000000"/>
      <w:lang w:val="el-GR"/>
    </w:rPr>
  </w:style>
  <w:style w:type="character" w:styleId="-">
    <w:name w:val="Hyperlink"/>
    <w:basedOn w:val="a0"/>
    <w:uiPriority w:val="99"/>
    <w:unhideWhenUsed/>
    <w:rsid w:val="00257B88"/>
    <w:rPr>
      <w:color w:val="0000FF" w:themeColor="hyperlink"/>
      <w:u w:val="single"/>
    </w:rPr>
  </w:style>
  <w:style w:type="paragraph" w:styleId="a4">
    <w:name w:val="Signature"/>
    <w:basedOn w:val="a"/>
    <w:link w:val="Char0"/>
    <w:rsid w:val="0068441D"/>
    <w:pPr>
      <w:spacing w:after="720"/>
    </w:pPr>
  </w:style>
  <w:style w:type="character" w:customStyle="1" w:styleId="Char0">
    <w:name w:val="Υπογραφή Char"/>
    <w:basedOn w:val="a0"/>
    <w:link w:val="a4"/>
    <w:rsid w:val="0068441D"/>
    <w:rPr>
      <w:sz w:val="20"/>
      <w:szCs w:val="22"/>
    </w:rPr>
  </w:style>
  <w:style w:type="paragraph" w:styleId="a5">
    <w:name w:val="footnote text"/>
    <w:basedOn w:val="a"/>
    <w:link w:val="Char1"/>
    <w:uiPriority w:val="99"/>
    <w:unhideWhenUsed/>
    <w:rsid w:val="0068441D"/>
    <w:rPr>
      <w:szCs w:val="20"/>
    </w:rPr>
  </w:style>
  <w:style w:type="character" w:customStyle="1" w:styleId="Char1">
    <w:name w:val="Κείμενο υποσημείωσης Char"/>
    <w:basedOn w:val="a0"/>
    <w:link w:val="a5"/>
    <w:uiPriority w:val="99"/>
    <w:rsid w:val="0068441D"/>
    <w:rPr>
      <w:sz w:val="20"/>
      <w:szCs w:val="20"/>
    </w:rPr>
  </w:style>
  <w:style w:type="paragraph" w:styleId="Web">
    <w:name w:val="Normal (Web)"/>
    <w:basedOn w:val="a"/>
    <w:uiPriority w:val="99"/>
    <w:unhideWhenUsed/>
    <w:rsid w:val="0068441D"/>
    <w:rPr>
      <w:rFonts w:ascii="Times New Roman" w:hAnsi="Times New Roman" w:cs="Times New Roman"/>
      <w:sz w:val="24"/>
      <w:szCs w:val="24"/>
    </w:rPr>
  </w:style>
  <w:style w:type="character" w:customStyle="1" w:styleId="Char">
    <w:name w:val="Παράγραφος λίστας Char"/>
    <w:basedOn w:val="a0"/>
    <w:link w:val="a3"/>
    <w:uiPriority w:val="34"/>
    <w:locked/>
    <w:rsid w:val="0068441D"/>
    <w:rPr>
      <w:rFonts w:eastAsiaTheme="minorHAnsi"/>
      <w:sz w:val="22"/>
      <w:szCs w:val="22"/>
      <w:lang w:val="el-GR"/>
    </w:rPr>
  </w:style>
  <w:style w:type="table" w:styleId="a6">
    <w:name w:val="Table Grid"/>
    <w:basedOn w:val="a1"/>
    <w:uiPriority w:val="59"/>
    <w:rsid w:val="0068441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basedOn w:val="a0"/>
    <w:uiPriority w:val="99"/>
    <w:unhideWhenUsed/>
    <w:rsid w:val="0068441D"/>
    <w:rPr>
      <w:vertAlign w:val="superscript"/>
    </w:rPr>
  </w:style>
  <w:style w:type="table" w:styleId="-3">
    <w:name w:val="Light Grid Accent 3"/>
    <w:basedOn w:val="a1"/>
    <w:uiPriority w:val="62"/>
    <w:rsid w:val="0068441D"/>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3">
    <w:name w:val="Medium List 2 Accent 3"/>
    <w:basedOn w:val="a1"/>
    <w:uiPriority w:val="66"/>
    <w:rsid w:val="0068441D"/>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annotation reference"/>
    <w:basedOn w:val="a0"/>
    <w:uiPriority w:val="99"/>
    <w:semiHidden/>
    <w:unhideWhenUsed/>
    <w:rsid w:val="00981F57"/>
    <w:rPr>
      <w:sz w:val="18"/>
      <w:szCs w:val="18"/>
    </w:rPr>
  </w:style>
  <w:style w:type="paragraph" w:styleId="a9">
    <w:name w:val="annotation text"/>
    <w:basedOn w:val="a"/>
    <w:link w:val="Char2"/>
    <w:uiPriority w:val="99"/>
    <w:semiHidden/>
    <w:unhideWhenUsed/>
    <w:rsid w:val="00981F57"/>
    <w:rPr>
      <w:sz w:val="24"/>
      <w:szCs w:val="24"/>
    </w:rPr>
  </w:style>
  <w:style w:type="character" w:customStyle="1" w:styleId="Char2">
    <w:name w:val="Κείμενο σχολίου Char"/>
    <w:basedOn w:val="a0"/>
    <w:link w:val="a9"/>
    <w:uiPriority w:val="99"/>
    <w:semiHidden/>
    <w:rsid w:val="00981F57"/>
  </w:style>
  <w:style w:type="paragraph" w:styleId="aa">
    <w:name w:val="annotation subject"/>
    <w:basedOn w:val="a9"/>
    <w:next w:val="a9"/>
    <w:link w:val="Char3"/>
    <w:uiPriority w:val="99"/>
    <w:semiHidden/>
    <w:unhideWhenUsed/>
    <w:rsid w:val="00981F57"/>
    <w:rPr>
      <w:b/>
      <w:bCs/>
      <w:sz w:val="20"/>
      <w:szCs w:val="20"/>
    </w:rPr>
  </w:style>
  <w:style w:type="character" w:customStyle="1" w:styleId="Char3">
    <w:name w:val="Θέμα σχολίου Char"/>
    <w:basedOn w:val="Char2"/>
    <w:link w:val="aa"/>
    <w:uiPriority w:val="99"/>
    <w:semiHidden/>
    <w:rsid w:val="00981F57"/>
    <w:rPr>
      <w:b/>
      <w:bCs/>
      <w:sz w:val="20"/>
      <w:szCs w:val="20"/>
    </w:rPr>
  </w:style>
  <w:style w:type="paragraph" w:styleId="ab">
    <w:name w:val="Balloon Text"/>
    <w:basedOn w:val="a"/>
    <w:link w:val="Char4"/>
    <w:uiPriority w:val="99"/>
    <w:semiHidden/>
    <w:unhideWhenUsed/>
    <w:rsid w:val="00981F57"/>
    <w:rPr>
      <w:rFonts w:ascii="Lucida Grande" w:hAnsi="Lucida Grande" w:cs="Lucida Grande"/>
      <w:sz w:val="18"/>
      <w:szCs w:val="18"/>
    </w:rPr>
  </w:style>
  <w:style w:type="character" w:customStyle="1" w:styleId="Char4">
    <w:name w:val="Κείμενο πλαισίου Char"/>
    <w:basedOn w:val="a0"/>
    <w:link w:val="ab"/>
    <w:uiPriority w:val="99"/>
    <w:semiHidden/>
    <w:rsid w:val="00981F57"/>
    <w:rPr>
      <w:rFonts w:ascii="Lucida Grande" w:hAnsi="Lucida Grande" w:cs="Lucida Grande"/>
      <w:sz w:val="18"/>
      <w:szCs w:val="18"/>
    </w:rPr>
  </w:style>
  <w:style w:type="table" w:styleId="-30">
    <w:name w:val="Light Shading Accent 3"/>
    <w:basedOn w:val="a1"/>
    <w:uiPriority w:val="60"/>
    <w:rsid w:val="006C040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30">
    <w:name w:val="Medium Grid 2 Accent 3"/>
    <w:basedOn w:val="a1"/>
    <w:uiPriority w:val="68"/>
    <w:rsid w:val="006C040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ac">
    <w:name w:val="footer"/>
    <w:basedOn w:val="a"/>
    <w:link w:val="Char5"/>
    <w:uiPriority w:val="99"/>
    <w:unhideWhenUsed/>
    <w:rsid w:val="007C35F6"/>
    <w:pPr>
      <w:tabs>
        <w:tab w:val="center" w:pos="4153"/>
        <w:tab w:val="right" w:pos="8306"/>
      </w:tabs>
    </w:pPr>
  </w:style>
  <w:style w:type="character" w:customStyle="1" w:styleId="Char5">
    <w:name w:val="Υποσέλιδο Char"/>
    <w:basedOn w:val="a0"/>
    <w:link w:val="ac"/>
    <w:uiPriority w:val="99"/>
    <w:rsid w:val="007C35F6"/>
    <w:rPr>
      <w:sz w:val="20"/>
      <w:szCs w:val="22"/>
    </w:rPr>
  </w:style>
  <w:style w:type="character" w:styleId="ad">
    <w:name w:val="page number"/>
    <w:basedOn w:val="a0"/>
    <w:uiPriority w:val="99"/>
    <w:semiHidden/>
    <w:unhideWhenUsed/>
    <w:rsid w:val="007C35F6"/>
  </w:style>
  <w:style w:type="paragraph" w:styleId="ae">
    <w:name w:val="No Spacing"/>
    <w:uiPriority w:val="1"/>
    <w:qFormat/>
    <w:rsid w:val="00827975"/>
    <w:rPr>
      <w:sz w:val="20"/>
      <w:szCs w:val="22"/>
    </w:rPr>
  </w:style>
  <w:style w:type="character" w:customStyle="1" w:styleId="8">
    <w:name w:val="Σώμα κειμένου (8)_"/>
    <w:basedOn w:val="a0"/>
    <w:link w:val="80"/>
    <w:rsid w:val="00FC789E"/>
    <w:rPr>
      <w:rFonts w:ascii="Tahoma" w:eastAsia="Tahoma" w:hAnsi="Tahoma" w:cs="Tahoma"/>
      <w:b/>
      <w:bCs/>
      <w:shd w:val="clear" w:color="auto" w:fill="FFFFFF"/>
    </w:rPr>
  </w:style>
  <w:style w:type="paragraph" w:customStyle="1" w:styleId="80">
    <w:name w:val="Σώμα κειμένου (8)"/>
    <w:basedOn w:val="a"/>
    <w:link w:val="8"/>
    <w:rsid w:val="00FC789E"/>
    <w:pPr>
      <w:widowControl w:val="0"/>
      <w:shd w:val="clear" w:color="auto" w:fill="FFFFFF"/>
      <w:spacing w:line="240" w:lineRule="exact"/>
    </w:pPr>
    <w:rPr>
      <w:rFonts w:ascii="Tahoma" w:eastAsia="Tahoma" w:hAnsi="Tahoma" w:cs="Tahoma"/>
      <w:b/>
      <w:bCs/>
      <w:sz w:val="24"/>
      <w:szCs w:val="24"/>
    </w:rPr>
  </w:style>
  <w:style w:type="table" w:styleId="-1">
    <w:name w:val="Light Shading Accent 1"/>
    <w:basedOn w:val="a1"/>
    <w:uiPriority w:val="60"/>
    <w:rsid w:val="00231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Shading Accent 5"/>
    <w:basedOn w:val="a1"/>
    <w:uiPriority w:val="60"/>
    <w:rsid w:val="00231A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1">
    <w:name w:val="Medium List 1 Accent 1"/>
    <w:basedOn w:val="a1"/>
    <w:uiPriority w:val="65"/>
    <w:rsid w:val="00231A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ListParagraph1">
    <w:name w:val="List Paragraph1"/>
    <w:basedOn w:val="a"/>
    <w:rsid w:val="00610B0E"/>
    <w:pPr>
      <w:spacing w:after="200" w:line="276" w:lineRule="auto"/>
      <w:ind w:left="720"/>
      <w:contextualSpacing/>
    </w:pPr>
    <w:rPr>
      <w:rFonts w:ascii="Calibri" w:eastAsia="Times New Roman" w:hAnsi="Calibri" w:cs="Times New Roman"/>
      <w:sz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2E71"/>
    <w:rPr>
      <w:sz w:val="2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Left">
    <w:name w:val="Header-Left"/>
    <w:basedOn w:val="a"/>
    <w:rsid w:val="00F02E71"/>
    <w:pPr>
      <w:spacing w:before="1100"/>
      <w:ind w:left="43"/>
    </w:pPr>
    <w:rPr>
      <w:rFonts w:asciiTheme="majorHAnsi" w:eastAsiaTheme="majorEastAsia" w:hAnsiTheme="majorHAnsi" w:cstheme="majorBidi"/>
      <w:color w:val="C0504D" w:themeColor="accent2"/>
      <w:sz w:val="44"/>
    </w:rPr>
  </w:style>
  <w:style w:type="paragraph" w:customStyle="1" w:styleId="Header-Right">
    <w:name w:val="Header-Right"/>
    <w:basedOn w:val="a"/>
    <w:rsid w:val="00F02E71"/>
    <w:pPr>
      <w:spacing w:before="1000"/>
      <w:ind w:right="43"/>
      <w:jc w:val="right"/>
    </w:pPr>
    <w:rPr>
      <w:color w:val="A6A6A6" w:themeColor="background1" w:themeShade="A6"/>
      <w:sz w:val="68"/>
    </w:rPr>
  </w:style>
  <w:style w:type="paragraph" w:customStyle="1" w:styleId="NoSpaceBetween">
    <w:name w:val="No Space Between"/>
    <w:basedOn w:val="a"/>
    <w:rsid w:val="00F02E71"/>
    <w:rPr>
      <w:sz w:val="2"/>
    </w:rPr>
  </w:style>
  <w:style w:type="paragraph" w:styleId="a3">
    <w:name w:val="List Paragraph"/>
    <w:basedOn w:val="a"/>
    <w:link w:val="Char"/>
    <w:uiPriority w:val="34"/>
    <w:qFormat/>
    <w:rsid w:val="00257B88"/>
    <w:pPr>
      <w:ind w:left="720"/>
      <w:contextualSpacing/>
    </w:pPr>
    <w:rPr>
      <w:rFonts w:eastAsiaTheme="minorHAnsi"/>
      <w:sz w:val="22"/>
      <w:lang w:val="el-GR"/>
    </w:rPr>
  </w:style>
  <w:style w:type="paragraph" w:customStyle="1" w:styleId="Default">
    <w:name w:val="Default"/>
    <w:rsid w:val="00257B88"/>
    <w:pPr>
      <w:autoSpaceDE w:val="0"/>
      <w:autoSpaceDN w:val="0"/>
      <w:adjustRightInd w:val="0"/>
    </w:pPr>
    <w:rPr>
      <w:rFonts w:ascii="Times New Roman" w:eastAsiaTheme="minorHAnsi" w:hAnsi="Times New Roman" w:cs="Times New Roman"/>
      <w:color w:val="000000"/>
      <w:lang w:val="el-GR"/>
    </w:rPr>
  </w:style>
  <w:style w:type="character" w:styleId="-">
    <w:name w:val="Hyperlink"/>
    <w:basedOn w:val="a0"/>
    <w:uiPriority w:val="99"/>
    <w:unhideWhenUsed/>
    <w:rsid w:val="00257B88"/>
    <w:rPr>
      <w:color w:val="0000FF" w:themeColor="hyperlink"/>
      <w:u w:val="single"/>
    </w:rPr>
  </w:style>
  <w:style w:type="paragraph" w:styleId="a4">
    <w:name w:val="Signature"/>
    <w:basedOn w:val="a"/>
    <w:link w:val="Char0"/>
    <w:rsid w:val="0068441D"/>
    <w:pPr>
      <w:spacing w:after="720"/>
    </w:pPr>
  </w:style>
  <w:style w:type="character" w:customStyle="1" w:styleId="Char0">
    <w:name w:val="Υπογραφή Char"/>
    <w:basedOn w:val="a0"/>
    <w:link w:val="a4"/>
    <w:rsid w:val="0068441D"/>
    <w:rPr>
      <w:sz w:val="20"/>
      <w:szCs w:val="22"/>
    </w:rPr>
  </w:style>
  <w:style w:type="paragraph" w:styleId="a5">
    <w:name w:val="footnote text"/>
    <w:basedOn w:val="a"/>
    <w:link w:val="Char1"/>
    <w:uiPriority w:val="99"/>
    <w:unhideWhenUsed/>
    <w:rsid w:val="0068441D"/>
    <w:rPr>
      <w:szCs w:val="20"/>
    </w:rPr>
  </w:style>
  <w:style w:type="character" w:customStyle="1" w:styleId="Char1">
    <w:name w:val="Κείμενο υποσημείωσης Char"/>
    <w:basedOn w:val="a0"/>
    <w:link w:val="a5"/>
    <w:uiPriority w:val="99"/>
    <w:rsid w:val="0068441D"/>
    <w:rPr>
      <w:sz w:val="20"/>
      <w:szCs w:val="20"/>
    </w:rPr>
  </w:style>
  <w:style w:type="paragraph" w:styleId="Web">
    <w:name w:val="Normal (Web)"/>
    <w:basedOn w:val="a"/>
    <w:uiPriority w:val="99"/>
    <w:unhideWhenUsed/>
    <w:rsid w:val="0068441D"/>
    <w:rPr>
      <w:rFonts w:ascii="Times New Roman" w:hAnsi="Times New Roman" w:cs="Times New Roman"/>
      <w:sz w:val="24"/>
      <w:szCs w:val="24"/>
    </w:rPr>
  </w:style>
  <w:style w:type="character" w:customStyle="1" w:styleId="Char">
    <w:name w:val="Παράγραφος λίστας Char"/>
    <w:basedOn w:val="a0"/>
    <w:link w:val="a3"/>
    <w:uiPriority w:val="34"/>
    <w:locked/>
    <w:rsid w:val="0068441D"/>
    <w:rPr>
      <w:rFonts w:eastAsiaTheme="minorHAnsi"/>
      <w:sz w:val="22"/>
      <w:szCs w:val="22"/>
      <w:lang w:val="el-GR"/>
    </w:rPr>
  </w:style>
  <w:style w:type="table" w:styleId="a6">
    <w:name w:val="Table Grid"/>
    <w:basedOn w:val="a1"/>
    <w:uiPriority w:val="59"/>
    <w:rsid w:val="0068441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basedOn w:val="a0"/>
    <w:uiPriority w:val="99"/>
    <w:unhideWhenUsed/>
    <w:rsid w:val="0068441D"/>
    <w:rPr>
      <w:vertAlign w:val="superscript"/>
    </w:rPr>
  </w:style>
  <w:style w:type="table" w:styleId="-3">
    <w:name w:val="Light Grid Accent 3"/>
    <w:basedOn w:val="a1"/>
    <w:uiPriority w:val="62"/>
    <w:rsid w:val="0068441D"/>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2-3">
    <w:name w:val="Medium List 2 Accent 3"/>
    <w:basedOn w:val="a1"/>
    <w:uiPriority w:val="66"/>
    <w:rsid w:val="0068441D"/>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a8">
    <w:name w:val="annotation reference"/>
    <w:basedOn w:val="a0"/>
    <w:uiPriority w:val="99"/>
    <w:semiHidden/>
    <w:unhideWhenUsed/>
    <w:rsid w:val="00981F57"/>
    <w:rPr>
      <w:sz w:val="18"/>
      <w:szCs w:val="18"/>
    </w:rPr>
  </w:style>
  <w:style w:type="paragraph" w:styleId="a9">
    <w:name w:val="annotation text"/>
    <w:basedOn w:val="a"/>
    <w:link w:val="Char2"/>
    <w:uiPriority w:val="99"/>
    <w:semiHidden/>
    <w:unhideWhenUsed/>
    <w:rsid w:val="00981F57"/>
    <w:rPr>
      <w:sz w:val="24"/>
      <w:szCs w:val="24"/>
    </w:rPr>
  </w:style>
  <w:style w:type="character" w:customStyle="1" w:styleId="Char2">
    <w:name w:val="Κείμενο σχολίου Char"/>
    <w:basedOn w:val="a0"/>
    <w:link w:val="a9"/>
    <w:uiPriority w:val="99"/>
    <w:semiHidden/>
    <w:rsid w:val="00981F57"/>
  </w:style>
  <w:style w:type="paragraph" w:styleId="aa">
    <w:name w:val="annotation subject"/>
    <w:basedOn w:val="a9"/>
    <w:next w:val="a9"/>
    <w:link w:val="Char3"/>
    <w:uiPriority w:val="99"/>
    <w:semiHidden/>
    <w:unhideWhenUsed/>
    <w:rsid w:val="00981F57"/>
    <w:rPr>
      <w:b/>
      <w:bCs/>
      <w:sz w:val="20"/>
      <w:szCs w:val="20"/>
    </w:rPr>
  </w:style>
  <w:style w:type="character" w:customStyle="1" w:styleId="Char3">
    <w:name w:val="Θέμα σχολίου Char"/>
    <w:basedOn w:val="Char2"/>
    <w:link w:val="aa"/>
    <w:uiPriority w:val="99"/>
    <w:semiHidden/>
    <w:rsid w:val="00981F57"/>
    <w:rPr>
      <w:b/>
      <w:bCs/>
      <w:sz w:val="20"/>
      <w:szCs w:val="20"/>
    </w:rPr>
  </w:style>
  <w:style w:type="paragraph" w:styleId="ab">
    <w:name w:val="Balloon Text"/>
    <w:basedOn w:val="a"/>
    <w:link w:val="Char4"/>
    <w:uiPriority w:val="99"/>
    <w:semiHidden/>
    <w:unhideWhenUsed/>
    <w:rsid w:val="00981F57"/>
    <w:rPr>
      <w:rFonts w:ascii="Lucida Grande" w:hAnsi="Lucida Grande" w:cs="Lucida Grande"/>
      <w:sz w:val="18"/>
      <w:szCs w:val="18"/>
    </w:rPr>
  </w:style>
  <w:style w:type="character" w:customStyle="1" w:styleId="Char4">
    <w:name w:val="Κείμενο πλαισίου Char"/>
    <w:basedOn w:val="a0"/>
    <w:link w:val="ab"/>
    <w:uiPriority w:val="99"/>
    <w:semiHidden/>
    <w:rsid w:val="00981F57"/>
    <w:rPr>
      <w:rFonts w:ascii="Lucida Grande" w:hAnsi="Lucida Grande" w:cs="Lucida Grande"/>
      <w:sz w:val="18"/>
      <w:szCs w:val="18"/>
    </w:rPr>
  </w:style>
  <w:style w:type="table" w:styleId="-30">
    <w:name w:val="Light Shading Accent 3"/>
    <w:basedOn w:val="a1"/>
    <w:uiPriority w:val="60"/>
    <w:rsid w:val="006C040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30">
    <w:name w:val="Medium Grid 2 Accent 3"/>
    <w:basedOn w:val="a1"/>
    <w:uiPriority w:val="68"/>
    <w:rsid w:val="006C040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ac">
    <w:name w:val="footer"/>
    <w:basedOn w:val="a"/>
    <w:link w:val="Char5"/>
    <w:uiPriority w:val="99"/>
    <w:unhideWhenUsed/>
    <w:rsid w:val="007C35F6"/>
    <w:pPr>
      <w:tabs>
        <w:tab w:val="center" w:pos="4153"/>
        <w:tab w:val="right" w:pos="8306"/>
      </w:tabs>
    </w:pPr>
  </w:style>
  <w:style w:type="character" w:customStyle="1" w:styleId="Char5">
    <w:name w:val="Υποσέλιδο Char"/>
    <w:basedOn w:val="a0"/>
    <w:link w:val="ac"/>
    <w:uiPriority w:val="99"/>
    <w:rsid w:val="007C35F6"/>
    <w:rPr>
      <w:sz w:val="20"/>
      <w:szCs w:val="22"/>
    </w:rPr>
  </w:style>
  <w:style w:type="character" w:styleId="ad">
    <w:name w:val="page number"/>
    <w:basedOn w:val="a0"/>
    <w:uiPriority w:val="99"/>
    <w:semiHidden/>
    <w:unhideWhenUsed/>
    <w:rsid w:val="007C35F6"/>
  </w:style>
  <w:style w:type="paragraph" w:styleId="ae">
    <w:name w:val="No Spacing"/>
    <w:uiPriority w:val="1"/>
    <w:qFormat/>
    <w:rsid w:val="00827975"/>
    <w:rPr>
      <w:sz w:val="20"/>
      <w:szCs w:val="22"/>
    </w:rPr>
  </w:style>
  <w:style w:type="character" w:customStyle="1" w:styleId="8">
    <w:name w:val="Σώμα κειμένου (8)_"/>
    <w:basedOn w:val="a0"/>
    <w:link w:val="80"/>
    <w:rsid w:val="00FC789E"/>
    <w:rPr>
      <w:rFonts w:ascii="Tahoma" w:eastAsia="Tahoma" w:hAnsi="Tahoma" w:cs="Tahoma"/>
      <w:b/>
      <w:bCs/>
      <w:shd w:val="clear" w:color="auto" w:fill="FFFFFF"/>
    </w:rPr>
  </w:style>
  <w:style w:type="paragraph" w:customStyle="1" w:styleId="80">
    <w:name w:val="Σώμα κειμένου (8)"/>
    <w:basedOn w:val="a"/>
    <w:link w:val="8"/>
    <w:rsid w:val="00FC789E"/>
    <w:pPr>
      <w:widowControl w:val="0"/>
      <w:shd w:val="clear" w:color="auto" w:fill="FFFFFF"/>
      <w:spacing w:line="240" w:lineRule="exact"/>
    </w:pPr>
    <w:rPr>
      <w:rFonts w:ascii="Tahoma" w:eastAsia="Tahoma" w:hAnsi="Tahoma" w:cs="Tahoma"/>
      <w:b/>
      <w:bCs/>
      <w:sz w:val="24"/>
      <w:szCs w:val="24"/>
    </w:rPr>
  </w:style>
  <w:style w:type="table" w:styleId="-1">
    <w:name w:val="Light Shading Accent 1"/>
    <w:basedOn w:val="a1"/>
    <w:uiPriority w:val="60"/>
    <w:rsid w:val="00231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Light Shading Accent 5"/>
    <w:basedOn w:val="a1"/>
    <w:uiPriority w:val="60"/>
    <w:rsid w:val="00231A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1">
    <w:name w:val="Medium List 1 Accent 1"/>
    <w:basedOn w:val="a1"/>
    <w:uiPriority w:val="65"/>
    <w:rsid w:val="00231A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ListParagraph1">
    <w:name w:val="List Paragraph1"/>
    <w:basedOn w:val="a"/>
    <w:rsid w:val="00610B0E"/>
    <w:pPr>
      <w:spacing w:after="200" w:line="276" w:lineRule="auto"/>
      <w:ind w:left="720"/>
      <w:contextualSpacing/>
    </w:pPr>
    <w:rPr>
      <w:rFonts w:ascii="Calibri" w:eastAsia="Times New Roman" w:hAnsi="Calibri" w:cs="Times New Roman"/>
      <w:sz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329">
      <w:bodyDiv w:val="1"/>
      <w:marLeft w:val="0"/>
      <w:marRight w:val="0"/>
      <w:marTop w:val="0"/>
      <w:marBottom w:val="0"/>
      <w:divBdr>
        <w:top w:val="none" w:sz="0" w:space="0" w:color="auto"/>
        <w:left w:val="none" w:sz="0" w:space="0" w:color="auto"/>
        <w:bottom w:val="none" w:sz="0" w:space="0" w:color="auto"/>
        <w:right w:val="none" w:sz="0" w:space="0" w:color="auto"/>
      </w:divBdr>
      <w:divsChild>
        <w:div w:id="770009569">
          <w:marLeft w:val="446"/>
          <w:marRight w:val="0"/>
          <w:marTop w:val="0"/>
          <w:marBottom w:val="0"/>
          <w:divBdr>
            <w:top w:val="none" w:sz="0" w:space="0" w:color="auto"/>
            <w:left w:val="none" w:sz="0" w:space="0" w:color="auto"/>
            <w:bottom w:val="none" w:sz="0" w:space="0" w:color="auto"/>
            <w:right w:val="none" w:sz="0" w:space="0" w:color="auto"/>
          </w:divBdr>
        </w:div>
        <w:div w:id="299842194">
          <w:marLeft w:val="446"/>
          <w:marRight w:val="0"/>
          <w:marTop w:val="0"/>
          <w:marBottom w:val="0"/>
          <w:divBdr>
            <w:top w:val="none" w:sz="0" w:space="0" w:color="auto"/>
            <w:left w:val="none" w:sz="0" w:space="0" w:color="auto"/>
            <w:bottom w:val="none" w:sz="0" w:space="0" w:color="auto"/>
            <w:right w:val="none" w:sz="0" w:space="0" w:color="auto"/>
          </w:divBdr>
        </w:div>
        <w:div w:id="1370378355">
          <w:marLeft w:val="446"/>
          <w:marRight w:val="0"/>
          <w:marTop w:val="0"/>
          <w:marBottom w:val="0"/>
          <w:divBdr>
            <w:top w:val="none" w:sz="0" w:space="0" w:color="auto"/>
            <w:left w:val="none" w:sz="0" w:space="0" w:color="auto"/>
            <w:bottom w:val="none" w:sz="0" w:space="0" w:color="auto"/>
            <w:right w:val="none" w:sz="0" w:space="0" w:color="auto"/>
          </w:divBdr>
        </w:div>
        <w:div w:id="1416777941">
          <w:marLeft w:val="446"/>
          <w:marRight w:val="0"/>
          <w:marTop w:val="0"/>
          <w:marBottom w:val="0"/>
          <w:divBdr>
            <w:top w:val="none" w:sz="0" w:space="0" w:color="auto"/>
            <w:left w:val="none" w:sz="0" w:space="0" w:color="auto"/>
            <w:bottom w:val="none" w:sz="0" w:space="0" w:color="auto"/>
            <w:right w:val="none" w:sz="0" w:space="0" w:color="auto"/>
          </w:divBdr>
        </w:div>
        <w:div w:id="1402093191">
          <w:marLeft w:val="446"/>
          <w:marRight w:val="0"/>
          <w:marTop w:val="0"/>
          <w:marBottom w:val="0"/>
          <w:divBdr>
            <w:top w:val="none" w:sz="0" w:space="0" w:color="auto"/>
            <w:left w:val="none" w:sz="0" w:space="0" w:color="auto"/>
            <w:bottom w:val="none" w:sz="0" w:space="0" w:color="auto"/>
            <w:right w:val="none" w:sz="0" w:space="0" w:color="auto"/>
          </w:divBdr>
        </w:div>
        <w:div w:id="1200169246">
          <w:marLeft w:val="446"/>
          <w:marRight w:val="0"/>
          <w:marTop w:val="0"/>
          <w:marBottom w:val="0"/>
          <w:divBdr>
            <w:top w:val="none" w:sz="0" w:space="0" w:color="auto"/>
            <w:left w:val="none" w:sz="0" w:space="0" w:color="auto"/>
            <w:bottom w:val="none" w:sz="0" w:space="0" w:color="auto"/>
            <w:right w:val="none" w:sz="0" w:space="0" w:color="auto"/>
          </w:divBdr>
        </w:div>
      </w:divsChild>
    </w:div>
    <w:div w:id="107237239">
      <w:bodyDiv w:val="1"/>
      <w:marLeft w:val="0"/>
      <w:marRight w:val="0"/>
      <w:marTop w:val="0"/>
      <w:marBottom w:val="0"/>
      <w:divBdr>
        <w:top w:val="none" w:sz="0" w:space="0" w:color="auto"/>
        <w:left w:val="none" w:sz="0" w:space="0" w:color="auto"/>
        <w:bottom w:val="none" w:sz="0" w:space="0" w:color="auto"/>
        <w:right w:val="none" w:sz="0" w:space="0" w:color="auto"/>
      </w:divBdr>
      <w:divsChild>
        <w:div w:id="397480594">
          <w:marLeft w:val="547"/>
          <w:marRight w:val="0"/>
          <w:marTop w:val="0"/>
          <w:marBottom w:val="0"/>
          <w:divBdr>
            <w:top w:val="none" w:sz="0" w:space="0" w:color="auto"/>
            <w:left w:val="none" w:sz="0" w:space="0" w:color="auto"/>
            <w:bottom w:val="none" w:sz="0" w:space="0" w:color="auto"/>
            <w:right w:val="none" w:sz="0" w:space="0" w:color="auto"/>
          </w:divBdr>
        </w:div>
      </w:divsChild>
    </w:div>
    <w:div w:id="155414000">
      <w:bodyDiv w:val="1"/>
      <w:marLeft w:val="0"/>
      <w:marRight w:val="0"/>
      <w:marTop w:val="0"/>
      <w:marBottom w:val="0"/>
      <w:divBdr>
        <w:top w:val="none" w:sz="0" w:space="0" w:color="auto"/>
        <w:left w:val="none" w:sz="0" w:space="0" w:color="auto"/>
        <w:bottom w:val="none" w:sz="0" w:space="0" w:color="auto"/>
        <w:right w:val="none" w:sz="0" w:space="0" w:color="auto"/>
      </w:divBdr>
    </w:div>
    <w:div w:id="165366268">
      <w:bodyDiv w:val="1"/>
      <w:marLeft w:val="0"/>
      <w:marRight w:val="0"/>
      <w:marTop w:val="0"/>
      <w:marBottom w:val="0"/>
      <w:divBdr>
        <w:top w:val="none" w:sz="0" w:space="0" w:color="auto"/>
        <w:left w:val="none" w:sz="0" w:space="0" w:color="auto"/>
        <w:bottom w:val="none" w:sz="0" w:space="0" w:color="auto"/>
        <w:right w:val="none" w:sz="0" w:space="0" w:color="auto"/>
      </w:divBdr>
    </w:div>
    <w:div w:id="214633707">
      <w:bodyDiv w:val="1"/>
      <w:marLeft w:val="0"/>
      <w:marRight w:val="0"/>
      <w:marTop w:val="0"/>
      <w:marBottom w:val="0"/>
      <w:divBdr>
        <w:top w:val="none" w:sz="0" w:space="0" w:color="auto"/>
        <w:left w:val="none" w:sz="0" w:space="0" w:color="auto"/>
        <w:bottom w:val="none" w:sz="0" w:space="0" w:color="auto"/>
        <w:right w:val="none" w:sz="0" w:space="0" w:color="auto"/>
      </w:divBdr>
      <w:divsChild>
        <w:div w:id="1410466201">
          <w:marLeft w:val="547"/>
          <w:marRight w:val="0"/>
          <w:marTop w:val="0"/>
          <w:marBottom w:val="0"/>
          <w:divBdr>
            <w:top w:val="none" w:sz="0" w:space="0" w:color="auto"/>
            <w:left w:val="none" w:sz="0" w:space="0" w:color="auto"/>
            <w:bottom w:val="none" w:sz="0" w:space="0" w:color="auto"/>
            <w:right w:val="none" w:sz="0" w:space="0" w:color="auto"/>
          </w:divBdr>
        </w:div>
        <w:div w:id="1949728109">
          <w:marLeft w:val="547"/>
          <w:marRight w:val="0"/>
          <w:marTop w:val="0"/>
          <w:marBottom w:val="0"/>
          <w:divBdr>
            <w:top w:val="none" w:sz="0" w:space="0" w:color="auto"/>
            <w:left w:val="none" w:sz="0" w:space="0" w:color="auto"/>
            <w:bottom w:val="none" w:sz="0" w:space="0" w:color="auto"/>
            <w:right w:val="none" w:sz="0" w:space="0" w:color="auto"/>
          </w:divBdr>
        </w:div>
        <w:div w:id="490027176">
          <w:marLeft w:val="547"/>
          <w:marRight w:val="0"/>
          <w:marTop w:val="0"/>
          <w:marBottom w:val="0"/>
          <w:divBdr>
            <w:top w:val="none" w:sz="0" w:space="0" w:color="auto"/>
            <w:left w:val="none" w:sz="0" w:space="0" w:color="auto"/>
            <w:bottom w:val="none" w:sz="0" w:space="0" w:color="auto"/>
            <w:right w:val="none" w:sz="0" w:space="0" w:color="auto"/>
          </w:divBdr>
        </w:div>
      </w:divsChild>
    </w:div>
    <w:div w:id="332413061">
      <w:bodyDiv w:val="1"/>
      <w:marLeft w:val="0"/>
      <w:marRight w:val="0"/>
      <w:marTop w:val="0"/>
      <w:marBottom w:val="0"/>
      <w:divBdr>
        <w:top w:val="none" w:sz="0" w:space="0" w:color="auto"/>
        <w:left w:val="none" w:sz="0" w:space="0" w:color="auto"/>
        <w:bottom w:val="none" w:sz="0" w:space="0" w:color="auto"/>
        <w:right w:val="none" w:sz="0" w:space="0" w:color="auto"/>
      </w:divBdr>
    </w:div>
    <w:div w:id="495072996">
      <w:bodyDiv w:val="1"/>
      <w:marLeft w:val="0"/>
      <w:marRight w:val="0"/>
      <w:marTop w:val="0"/>
      <w:marBottom w:val="0"/>
      <w:divBdr>
        <w:top w:val="none" w:sz="0" w:space="0" w:color="auto"/>
        <w:left w:val="none" w:sz="0" w:space="0" w:color="auto"/>
        <w:bottom w:val="none" w:sz="0" w:space="0" w:color="auto"/>
        <w:right w:val="none" w:sz="0" w:space="0" w:color="auto"/>
      </w:divBdr>
    </w:div>
    <w:div w:id="504170095">
      <w:bodyDiv w:val="1"/>
      <w:marLeft w:val="0"/>
      <w:marRight w:val="0"/>
      <w:marTop w:val="0"/>
      <w:marBottom w:val="0"/>
      <w:divBdr>
        <w:top w:val="none" w:sz="0" w:space="0" w:color="auto"/>
        <w:left w:val="none" w:sz="0" w:space="0" w:color="auto"/>
        <w:bottom w:val="none" w:sz="0" w:space="0" w:color="auto"/>
        <w:right w:val="none" w:sz="0" w:space="0" w:color="auto"/>
      </w:divBdr>
    </w:div>
    <w:div w:id="772169807">
      <w:bodyDiv w:val="1"/>
      <w:marLeft w:val="0"/>
      <w:marRight w:val="0"/>
      <w:marTop w:val="0"/>
      <w:marBottom w:val="0"/>
      <w:divBdr>
        <w:top w:val="none" w:sz="0" w:space="0" w:color="auto"/>
        <w:left w:val="none" w:sz="0" w:space="0" w:color="auto"/>
        <w:bottom w:val="none" w:sz="0" w:space="0" w:color="auto"/>
        <w:right w:val="none" w:sz="0" w:space="0" w:color="auto"/>
      </w:divBdr>
      <w:divsChild>
        <w:div w:id="1478380244">
          <w:marLeft w:val="547"/>
          <w:marRight w:val="0"/>
          <w:marTop w:val="96"/>
          <w:marBottom w:val="0"/>
          <w:divBdr>
            <w:top w:val="none" w:sz="0" w:space="0" w:color="auto"/>
            <w:left w:val="none" w:sz="0" w:space="0" w:color="auto"/>
            <w:bottom w:val="none" w:sz="0" w:space="0" w:color="auto"/>
            <w:right w:val="none" w:sz="0" w:space="0" w:color="auto"/>
          </w:divBdr>
        </w:div>
        <w:div w:id="1571109427">
          <w:marLeft w:val="547"/>
          <w:marRight w:val="0"/>
          <w:marTop w:val="96"/>
          <w:marBottom w:val="0"/>
          <w:divBdr>
            <w:top w:val="none" w:sz="0" w:space="0" w:color="auto"/>
            <w:left w:val="none" w:sz="0" w:space="0" w:color="auto"/>
            <w:bottom w:val="none" w:sz="0" w:space="0" w:color="auto"/>
            <w:right w:val="none" w:sz="0" w:space="0" w:color="auto"/>
          </w:divBdr>
        </w:div>
        <w:div w:id="513416870">
          <w:marLeft w:val="547"/>
          <w:marRight w:val="0"/>
          <w:marTop w:val="96"/>
          <w:marBottom w:val="0"/>
          <w:divBdr>
            <w:top w:val="none" w:sz="0" w:space="0" w:color="auto"/>
            <w:left w:val="none" w:sz="0" w:space="0" w:color="auto"/>
            <w:bottom w:val="none" w:sz="0" w:space="0" w:color="auto"/>
            <w:right w:val="none" w:sz="0" w:space="0" w:color="auto"/>
          </w:divBdr>
        </w:div>
        <w:div w:id="1719619753">
          <w:marLeft w:val="547"/>
          <w:marRight w:val="0"/>
          <w:marTop w:val="96"/>
          <w:marBottom w:val="0"/>
          <w:divBdr>
            <w:top w:val="none" w:sz="0" w:space="0" w:color="auto"/>
            <w:left w:val="none" w:sz="0" w:space="0" w:color="auto"/>
            <w:bottom w:val="none" w:sz="0" w:space="0" w:color="auto"/>
            <w:right w:val="none" w:sz="0" w:space="0" w:color="auto"/>
          </w:divBdr>
        </w:div>
        <w:div w:id="1588416422">
          <w:marLeft w:val="547"/>
          <w:marRight w:val="0"/>
          <w:marTop w:val="96"/>
          <w:marBottom w:val="0"/>
          <w:divBdr>
            <w:top w:val="none" w:sz="0" w:space="0" w:color="auto"/>
            <w:left w:val="none" w:sz="0" w:space="0" w:color="auto"/>
            <w:bottom w:val="none" w:sz="0" w:space="0" w:color="auto"/>
            <w:right w:val="none" w:sz="0" w:space="0" w:color="auto"/>
          </w:divBdr>
        </w:div>
        <w:div w:id="521863374">
          <w:marLeft w:val="1166"/>
          <w:marRight w:val="0"/>
          <w:marTop w:val="0"/>
          <w:marBottom w:val="0"/>
          <w:divBdr>
            <w:top w:val="none" w:sz="0" w:space="0" w:color="auto"/>
            <w:left w:val="none" w:sz="0" w:space="0" w:color="auto"/>
            <w:bottom w:val="none" w:sz="0" w:space="0" w:color="auto"/>
            <w:right w:val="none" w:sz="0" w:space="0" w:color="auto"/>
          </w:divBdr>
        </w:div>
        <w:div w:id="1595748237">
          <w:marLeft w:val="1166"/>
          <w:marRight w:val="0"/>
          <w:marTop w:val="0"/>
          <w:marBottom w:val="0"/>
          <w:divBdr>
            <w:top w:val="none" w:sz="0" w:space="0" w:color="auto"/>
            <w:left w:val="none" w:sz="0" w:space="0" w:color="auto"/>
            <w:bottom w:val="none" w:sz="0" w:space="0" w:color="auto"/>
            <w:right w:val="none" w:sz="0" w:space="0" w:color="auto"/>
          </w:divBdr>
        </w:div>
        <w:div w:id="1781342169">
          <w:marLeft w:val="1166"/>
          <w:marRight w:val="0"/>
          <w:marTop w:val="0"/>
          <w:marBottom w:val="0"/>
          <w:divBdr>
            <w:top w:val="none" w:sz="0" w:space="0" w:color="auto"/>
            <w:left w:val="none" w:sz="0" w:space="0" w:color="auto"/>
            <w:bottom w:val="none" w:sz="0" w:space="0" w:color="auto"/>
            <w:right w:val="none" w:sz="0" w:space="0" w:color="auto"/>
          </w:divBdr>
        </w:div>
        <w:div w:id="1249853149">
          <w:marLeft w:val="1166"/>
          <w:marRight w:val="0"/>
          <w:marTop w:val="0"/>
          <w:marBottom w:val="0"/>
          <w:divBdr>
            <w:top w:val="none" w:sz="0" w:space="0" w:color="auto"/>
            <w:left w:val="none" w:sz="0" w:space="0" w:color="auto"/>
            <w:bottom w:val="none" w:sz="0" w:space="0" w:color="auto"/>
            <w:right w:val="none" w:sz="0" w:space="0" w:color="auto"/>
          </w:divBdr>
        </w:div>
      </w:divsChild>
    </w:div>
    <w:div w:id="826941544">
      <w:bodyDiv w:val="1"/>
      <w:marLeft w:val="0"/>
      <w:marRight w:val="0"/>
      <w:marTop w:val="0"/>
      <w:marBottom w:val="0"/>
      <w:divBdr>
        <w:top w:val="none" w:sz="0" w:space="0" w:color="auto"/>
        <w:left w:val="none" w:sz="0" w:space="0" w:color="auto"/>
        <w:bottom w:val="none" w:sz="0" w:space="0" w:color="auto"/>
        <w:right w:val="none" w:sz="0" w:space="0" w:color="auto"/>
      </w:divBdr>
    </w:div>
    <w:div w:id="836111833">
      <w:bodyDiv w:val="1"/>
      <w:marLeft w:val="0"/>
      <w:marRight w:val="0"/>
      <w:marTop w:val="0"/>
      <w:marBottom w:val="0"/>
      <w:divBdr>
        <w:top w:val="none" w:sz="0" w:space="0" w:color="auto"/>
        <w:left w:val="none" w:sz="0" w:space="0" w:color="auto"/>
        <w:bottom w:val="none" w:sz="0" w:space="0" w:color="auto"/>
        <w:right w:val="none" w:sz="0" w:space="0" w:color="auto"/>
      </w:divBdr>
    </w:div>
    <w:div w:id="998507971">
      <w:bodyDiv w:val="1"/>
      <w:marLeft w:val="0"/>
      <w:marRight w:val="0"/>
      <w:marTop w:val="0"/>
      <w:marBottom w:val="0"/>
      <w:divBdr>
        <w:top w:val="none" w:sz="0" w:space="0" w:color="auto"/>
        <w:left w:val="none" w:sz="0" w:space="0" w:color="auto"/>
        <w:bottom w:val="none" w:sz="0" w:space="0" w:color="auto"/>
        <w:right w:val="none" w:sz="0" w:space="0" w:color="auto"/>
      </w:divBdr>
    </w:div>
    <w:div w:id="1002127420">
      <w:bodyDiv w:val="1"/>
      <w:marLeft w:val="0"/>
      <w:marRight w:val="0"/>
      <w:marTop w:val="0"/>
      <w:marBottom w:val="0"/>
      <w:divBdr>
        <w:top w:val="none" w:sz="0" w:space="0" w:color="auto"/>
        <w:left w:val="none" w:sz="0" w:space="0" w:color="auto"/>
        <w:bottom w:val="none" w:sz="0" w:space="0" w:color="auto"/>
        <w:right w:val="none" w:sz="0" w:space="0" w:color="auto"/>
      </w:divBdr>
    </w:div>
    <w:div w:id="1040127975">
      <w:bodyDiv w:val="1"/>
      <w:marLeft w:val="0"/>
      <w:marRight w:val="0"/>
      <w:marTop w:val="0"/>
      <w:marBottom w:val="0"/>
      <w:divBdr>
        <w:top w:val="none" w:sz="0" w:space="0" w:color="auto"/>
        <w:left w:val="none" w:sz="0" w:space="0" w:color="auto"/>
        <w:bottom w:val="none" w:sz="0" w:space="0" w:color="auto"/>
        <w:right w:val="none" w:sz="0" w:space="0" w:color="auto"/>
      </w:divBdr>
      <w:divsChild>
        <w:div w:id="685866595">
          <w:marLeft w:val="547"/>
          <w:marRight w:val="0"/>
          <w:marTop w:val="0"/>
          <w:marBottom w:val="0"/>
          <w:divBdr>
            <w:top w:val="none" w:sz="0" w:space="0" w:color="auto"/>
            <w:left w:val="none" w:sz="0" w:space="0" w:color="auto"/>
            <w:bottom w:val="none" w:sz="0" w:space="0" w:color="auto"/>
            <w:right w:val="none" w:sz="0" w:space="0" w:color="auto"/>
          </w:divBdr>
        </w:div>
        <w:div w:id="437066725">
          <w:marLeft w:val="547"/>
          <w:marRight w:val="0"/>
          <w:marTop w:val="0"/>
          <w:marBottom w:val="0"/>
          <w:divBdr>
            <w:top w:val="none" w:sz="0" w:space="0" w:color="auto"/>
            <w:left w:val="none" w:sz="0" w:space="0" w:color="auto"/>
            <w:bottom w:val="none" w:sz="0" w:space="0" w:color="auto"/>
            <w:right w:val="none" w:sz="0" w:space="0" w:color="auto"/>
          </w:divBdr>
        </w:div>
        <w:div w:id="767696938">
          <w:marLeft w:val="547"/>
          <w:marRight w:val="0"/>
          <w:marTop w:val="0"/>
          <w:marBottom w:val="0"/>
          <w:divBdr>
            <w:top w:val="none" w:sz="0" w:space="0" w:color="auto"/>
            <w:left w:val="none" w:sz="0" w:space="0" w:color="auto"/>
            <w:bottom w:val="none" w:sz="0" w:space="0" w:color="auto"/>
            <w:right w:val="none" w:sz="0" w:space="0" w:color="auto"/>
          </w:divBdr>
        </w:div>
        <w:div w:id="683020574">
          <w:marLeft w:val="547"/>
          <w:marRight w:val="0"/>
          <w:marTop w:val="0"/>
          <w:marBottom w:val="0"/>
          <w:divBdr>
            <w:top w:val="none" w:sz="0" w:space="0" w:color="auto"/>
            <w:left w:val="none" w:sz="0" w:space="0" w:color="auto"/>
            <w:bottom w:val="none" w:sz="0" w:space="0" w:color="auto"/>
            <w:right w:val="none" w:sz="0" w:space="0" w:color="auto"/>
          </w:divBdr>
        </w:div>
      </w:divsChild>
    </w:div>
    <w:div w:id="1066879121">
      <w:bodyDiv w:val="1"/>
      <w:marLeft w:val="0"/>
      <w:marRight w:val="0"/>
      <w:marTop w:val="0"/>
      <w:marBottom w:val="0"/>
      <w:divBdr>
        <w:top w:val="none" w:sz="0" w:space="0" w:color="auto"/>
        <w:left w:val="none" w:sz="0" w:space="0" w:color="auto"/>
        <w:bottom w:val="none" w:sz="0" w:space="0" w:color="auto"/>
        <w:right w:val="none" w:sz="0" w:space="0" w:color="auto"/>
      </w:divBdr>
    </w:div>
    <w:div w:id="1121799136">
      <w:bodyDiv w:val="1"/>
      <w:marLeft w:val="0"/>
      <w:marRight w:val="0"/>
      <w:marTop w:val="0"/>
      <w:marBottom w:val="0"/>
      <w:divBdr>
        <w:top w:val="none" w:sz="0" w:space="0" w:color="auto"/>
        <w:left w:val="none" w:sz="0" w:space="0" w:color="auto"/>
        <w:bottom w:val="none" w:sz="0" w:space="0" w:color="auto"/>
        <w:right w:val="none" w:sz="0" w:space="0" w:color="auto"/>
      </w:divBdr>
    </w:div>
    <w:div w:id="1140348398">
      <w:bodyDiv w:val="1"/>
      <w:marLeft w:val="0"/>
      <w:marRight w:val="0"/>
      <w:marTop w:val="0"/>
      <w:marBottom w:val="0"/>
      <w:divBdr>
        <w:top w:val="none" w:sz="0" w:space="0" w:color="auto"/>
        <w:left w:val="none" w:sz="0" w:space="0" w:color="auto"/>
        <w:bottom w:val="none" w:sz="0" w:space="0" w:color="auto"/>
        <w:right w:val="none" w:sz="0" w:space="0" w:color="auto"/>
      </w:divBdr>
      <w:divsChild>
        <w:div w:id="773090516">
          <w:marLeft w:val="0"/>
          <w:marRight w:val="0"/>
          <w:marTop w:val="0"/>
          <w:marBottom w:val="0"/>
          <w:divBdr>
            <w:top w:val="none" w:sz="0" w:space="0" w:color="auto"/>
            <w:left w:val="none" w:sz="0" w:space="0" w:color="auto"/>
            <w:bottom w:val="none" w:sz="0" w:space="0" w:color="auto"/>
            <w:right w:val="none" w:sz="0" w:space="0" w:color="auto"/>
          </w:divBdr>
        </w:div>
        <w:div w:id="799498863">
          <w:marLeft w:val="0"/>
          <w:marRight w:val="0"/>
          <w:marTop w:val="0"/>
          <w:marBottom w:val="0"/>
          <w:divBdr>
            <w:top w:val="none" w:sz="0" w:space="0" w:color="auto"/>
            <w:left w:val="none" w:sz="0" w:space="0" w:color="auto"/>
            <w:bottom w:val="none" w:sz="0" w:space="0" w:color="auto"/>
            <w:right w:val="none" w:sz="0" w:space="0" w:color="auto"/>
          </w:divBdr>
        </w:div>
        <w:div w:id="1814134028">
          <w:marLeft w:val="0"/>
          <w:marRight w:val="0"/>
          <w:marTop w:val="0"/>
          <w:marBottom w:val="0"/>
          <w:divBdr>
            <w:top w:val="none" w:sz="0" w:space="0" w:color="auto"/>
            <w:left w:val="none" w:sz="0" w:space="0" w:color="auto"/>
            <w:bottom w:val="none" w:sz="0" w:space="0" w:color="auto"/>
            <w:right w:val="none" w:sz="0" w:space="0" w:color="auto"/>
          </w:divBdr>
        </w:div>
        <w:div w:id="1789737725">
          <w:marLeft w:val="0"/>
          <w:marRight w:val="0"/>
          <w:marTop w:val="0"/>
          <w:marBottom w:val="0"/>
          <w:divBdr>
            <w:top w:val="none" w:sz="0" w:space="0" w:color="auto"/>
            <w:left w:val="none" w:sz="0" w:space="0" w:color="auto"/>
            <w:bottom w:val="none" w:sz="0" w:space="0" w:color="auto"/>
            <w:right w:val="none" w:sz="0" w:space="0" w:color="auto"/>
          </w:divBdr>
        </w:div>
        <w:div w:id="425153398">
          <w:marLeft w:val="0"/>
          <w:marRight w:val="0"/>
          <w:marTop w:val="0"/>
          <w:marBottom w:val="0"/>
          <w:divBdr>
            <w:top w:val="none" w:sz="0" w:space="0" w:color="auto"/>
            <w:left w:val="none" w:sz="0" w:space="0" w:color="auto"/>
            <w:bottom w:val="none" w:sz="0" w:space="0" w:color="auto"/>
            <w:right w:val="none" w:sz="0" w:space="0" w:color="auto"/>
          </w:divBdr>
        </w:div>
        <w:div w:id="1698584649">
          <w:marLeft w:val="0"/>
          <w:marRight w:val="0"/>
          <w:marTop w:val="0"/>
          <w:marBottom w:val="0"/>
          <w:divBdr>
            <w:top w:val="none" w:sz="0" w:space="0" w:color="auto"/>
            <w:left w:val="none" w:sz="0" w:space="0" w:color="auto"/>
            <w:bottom w:val="none" w:sz="0" w:space="0" w:color="auto"/>
            <w:right w:val="none" w:sz="0" w:space="0" w:color="auto"/>
          </w:divBdr>
        </w:div>
        <w:div w:id="2066681975">
          <w:marLeft w:val="0"/>
          <w:marRight w:val="0"/>
          <w:marTop w:val="0"/>
          <w:marBottom w:val="0"/>
          <w:divBdr>
            <w:top w:val="none" w:sz="0" w:space="0" w:color="auto"/>
            <w:left w:val="none" w:sz="0" w:space="0" w:color="auto"/>
            <w:bottom w:val="none" w:sz="0" w:space="0" w:color="auto"/>
            <w:right w:val="none" w:sz="0" w:space="0" w:color="auto"/>
          </w:divBdr>
        </w:div>
        <w:div w:id="776023674">
          <w:marLeft w:val="0"/>
          <w:marRight w:val="0"/>
          <w:marTop w:val="0"/>
          <w:marBottom w:val="0"/>
          <w:divBdr>
            <w:top w:val="none" w:sz="0" w:space="0" w:color="auto"/>
            <w:left w:val="none" w:sz="0" w:space="0" w:color="auto"/>
            <w:bottom w:val="none" w:sz="0" w:space="0" w:color="auto"/>
            <w:right w:val="none" w:sz="0" w:space="0" w:color="auto"/>
          </w:divBdr>
        </w:div>
        <w:div w:id="522135718">
          <w:marLeft w:val="0"/>
          <w:marRight w:val="0"/>
          <w:marTop w:val="0"/>
          <w:marBottom w:val="0"/>
          <w:divBdr>
            <w:top w:val="none" w:sz="0" w:space="0" w:color="auto"/>
            <w:left w:val="none" w:sz="0" w:space="0" w:color="auto"/>
            <w:bottom w:val="none" w:sz="0" w:space="0" w:color="auto"/>
            <w:right w:val="none" w:sz="0" w:space="0" w:color="auto"/>
          </w:divBdr>
        </w:div>
        <w:div w:id="1893538186">
          <w:marLeft w:val="0"/>
          <w:marRight w:val="0"/>
          <w:marTop w:val="0"/>
          <w:marBottom w:val="0"/>
          <w:divBdr>
            <w:top w:val="none" w:sz="0" w:space="0" w:color="auto"/>
            <w:left w:val="none" w:sz="0" w:space="0" w:color="auto"/>
            <w:bottom w:val="none" w:sz="0" w:space="0" w:color="auto"/>
            <w:right w:val="none" w:sz="0" w:space="0" w:color="auto"/>
          </w:divBdr>
        </w:div>
        <w:div w:id="1133518707">
          <w:marLeft w:val="0"/>
          <w:marRight w:val="0"/>
          <w:marTop w:val="0"/>
          <w:marBottom w:val="0"/>
          <w:divBdr>
            <w:top w:val="none" w:sz="0" w:space="0" w:color="auto"/>
            <w:left w:val="none" w:sz="0" w:space="0" w:color="auto"/>
            <w:bottom w:val="none" w:sz="0" w:space="0" w:color="auto"/>
            <w:right w:val="none" w:sz="0" w:space="0" w:color="auto"/>
          </w:divBdr>
        </w:div>
        <w:div w:id="203106747">
          <w:marLeft w:val="0"/>
          <w:marRight w:val="0"/>
          <w:marTop w:val="0"/>
          <w:marBottom w:val="0"/>
          <w:divBdr>
            <w:top w:val="none" w:sz="0" w:space="0" w:color="auto"/>
            <w:left w:val="none" w:sz="0" w:space="0" w:color="auto"/>
            <w:bottom w:val="none" w:sz="0" w:space="0" w:color="auto"/>
            <w:right w:val="none" w:sz="0" w:space="0" w:color="auto"/>
          </w:divBdr>
        </w:div>
        <w:div w:id="1948996500">
          <w:marLeft w:val="0"/>
          <w:marRight w:val="0"/>
          <w:marTop w:val="0"/>
          <w:marBottom w:val="0"/>
          <w:divBdr>
            <w:top w:val="none" w:sz="0" w:space="0" w:color="auto"/>
            <w:left w:val="none" w:sz="0" w:space="0" w:color="auto"/>
            <w:bottom w:val="none" w:sz="0" w:space="0" w:color="auto"/>
            <w:right w:val="none" w:sz="0" w:space="0" w:color="auto"/>
          </w:divBdr>
        </w:div>
        <w:div w:id="2073500031">
          <w:marLeft w:val="0"/>
          <w:marRight w:val="0"/>
          <w:marTop w:val="0"/>
          <w:marBottom w:val="0"/>
          <w:divBdr>
            <w:top w:val="none" w:sz="0" w:space="0" w:color="auto"/>
            <w:left w:val="none" w:sz="0" w:space="0" w:color="auto"/>
            <w:bottom w:val="none" w:sz="0" w:space="0" w:color="auto"/>
            <w:right w:val="none" w:sz="0" w:space="0" w:color="auto"/>
          </w:divBdr>
        </w:div>
        <w:div w:id="856967302">
          <w:marLeft w:val="0"/>
          <w:marRight w:val="0"/>
          <w:marTop w:val="0"/>
          <w:marBottom w:val="0"/>
          <w:divBdr>
            <w:top w:val="none" w:sz="0" w:space="0" w:color="auto"/>
            <w:left w:val="none" w:sz="0" w:space="0" w:color="auto"/>
            <w:bottom w:val="none" w:sz="0" w:space="0" w:color="auto"/>
            <w:right w:val="none" w:sz="0" w:space="0" w:color="auto"/>
          </w:divBdr>
        </w:div>
        <w:div w:id="1761876124">
          <w:marLeft w:val="0"/>
          <w:marRight w:val="0"/>
          <w:marTop w:val="0"/>
          <w:marBottom w:val="0"/>
          <w:divBdr>
            <w:top w:val="none" w:sz="0" w:space="0" w:color="auto"/>
            <w:left w:val="none" w:sz="0" w:space="0" w:color="auto"/>
            <w:bottom w:val="none" w:sz="0" w:space="0" w:color="auto"/>
            <w:right w:val="none" w:sz="0" w:space="0" w:color="auto"/>
          </w:divBdr>
        </w:div>
        <w:div w:id="864170525">
          <w:marLeft w:val="0"/>
          <w:marRight w:val="0"/>
          <w:marTop w:val="0"/>
          <w:marBottom w:val="0"/>
          <w:divBdr>
            <w:top w:val="none" w:sz="0" w:space="0" w:color="auto"/>
            <w:left w:val="none" w:sz="0" w:space="0" w:color="auto"/>
            <w:bottom w:val="none" w:sz="0" w:space="0" w:color="auto"/>
            <w:right w:val="none" w:sz="0" w:space="0" w:color="auto"/>
          </w:divBdr>
        </w:div>
        <w:div w:id="564031371">
          <w:marLeft w:val="0"/>
          <w:marRight w:val="0"/>
          <w:marTop w:val="0"/>
          <w:marBottom w:val="0"/>
          <w:divBdr>
            <w:top w:val="none" w:sz="0" w:space="0" w:color="auto"/>
            <w:left w:val="none" w:sz="0" w:space="0" w:color="auto"/>
            <w:bottom w:val="none" w:sz="0" w:space="0" w:color="auto"/>
            <w:right w:val="none" w:sz="0" w:space="0" w:color="auto"/>
          </w:divBdr>
        </w:div>
        <w:div w:id="1593851876">
          <w:marLeft w:val="0"/>
          <w:marRight w:val="0"/>
          <w:marTop w:val="0"/>
          <w:marBottom w:val="0"/>
          <w:divBdr>
            <w:top w:val="none" w:sz="0" w:space="0" w:color="auto"/>
            <w:left w:val="none" w:sz="0" w:space="0" w:color="auto"/>
            <w:bottom w:val="none" w:sz="0" w:space="0" w:color="auto"/>
            <w:right w:val="none" w:sz="0" w:space="0" w:color="auto"/>
          </w:divBdr>
        </w:div>
        <w:div w:id="647710352">
          <w:marLeft w:val="0"/>
          <w:marRight w:val="0"/>
          <w:marTop w:val="0"/>
          <w:marBottom w:val="0"/>
          <w:divBdr>
            <w:top w:val="none" w:sz="0" w:space="0" w:color="auto"/>
            <w:left w:val="none" w:sz="0" w:space="0" w:color="auto"/>
            <w:bottom w:val="none" w:sz="0" w:space="0" w:color="auto"/>
            <w:right w:val="none" w:sz="0" w:space="0" w:color="auto"/>
          </w:divBdr>
        </w:div>
        <w:div w:id="288825959">
          <w:marLeft w:val="0"/>
          <w:marRight w:val="0"/>
          <w:marTop w:val="0"/>
          <w:marBottom w:val="0"/>
          <w:divBdr>
            <w:top w:val="none" w:sz="0" w:space="0" w:color="auto"/>
            <w:left w:val="none" w:sz="0" w:space="0" w:color="auto"/>
            <w:bottom w:val="none" w:sz="0" w:space="0" w:color="auto"/>
            <w:right w:val="none" w:sz="0" w:space="0" w:color="auto"/>
          </w:divBdr>
        </w:div>
        <w:div w:id="1722097865">
          <w:marLeft w:val="0"/>
          <w:marRight w:val="0"/>
          <w:marTop w:val="0"/>
          <w:marBottom w:val="0"/>
          <w:divBdr>
            <w:top w:val="none" w:sz="0" w:space="0" w:color="auto"/>
            <w:left w:val="none" w:sz="0" w:space="0" w:color="auto"/>
            <w:bottom w:val="none" w:sz="0" w:space="0" w:color="auto"/>
            <w:right w:val="none" w:sz="0" w:space="0" w:color="auto"/>
          </w:divBdr>
        </w:div>
        <w:div w:id="1561483290">
          <w:marLeft w:val="0"/>
          <w:marRight w:val="0"/>
          <w:marTop w:val="0"/>
          <w:marBottom w:val="0"/>
          <w:divBdr>
            <w:top w:val="none" w:sz="0" w:space="0" w:color="auto"/>
            <w:left w:val="none" w:sz="0" w:space="0" w:color="auto"/>
            <w:bottom w:val="none" w:sz="0" w:space="0" w:color="auto"/>
            <w:right w:val="none" w:sz="0" w:space="0" w:color="auto"/>
          </w:divBdr>
        </w:div>
        <w:div w:id="180437273">
          <w:marLeft w:val="0"/>
          <w:marRight w:val="0"/>
          <w:marTop w:val="0"/>
          <w:marBottom w:val="0"/>
          <w:divBdr>
            <w:top w:val="none" w:sz="0" w:space="0" w:color="auto"/>
            <w:left w:val="none" w:sz="0" w:space="0" w:color="auto"/>
            <w:bottom w:val="none" w:sz="0" w:space="0" w:color="auto"/>
            <w:right w:val="none" w:sz="0" w:space="0" w:color="auto"/>
          </w:divBdr>
        </w:div>
        <w:div w:id="82259880">
          <w:marLeft w:val="0"/>
          <w:marRight w:val="0"/>
          <w:marTop w:val="0"/>
          <w:marBottom w:val="0"/>
          <w:divBdr>
            <w:top w:val="none" w:sz="0" w:space="0" w:color="auto"/>
            <w:left w:val="none" w:sz="0" w:space="0" w:color="auto"/>
            <w:bottom w:val="none" w:sz="0" w:space="0" w:color="auto"/>
            <w:right w:val="none" w:sz="0" w:space="0" w:color="auto"/>
          </w:divBdr>
        </w:div>
        <w:div w:id="1678271524">
          <w:marLeft w:val="0"/>
          <w:marRight w:val="0"/>
          <w:marTop w:val="0"/>
          <w:marBottom w:val="0"/>
          <w:divBdr>
            <w:top w:val="none" w:sz="0" w:space="0" w:color="auto"/>
            <w:left w:val="none" w:sz="0" w:space="0" w:color="auto"/>
            <w:bottom w:val="none" w:sz="0" w:space="0" w:color="auto"/>
            <w:right w:val="none" w:sz="0" w:space="0" w:color="auto"/>
          </w:divBdr>
        </w:div>
        <w:div w:id="1414619588">
          <w:marLeft w:val="0"/>
          <w:marRight w:val="0"/>
          <w:marTop w:val="0"/>
          <w:marBottom w:val="0"/>
          <w:divBdr>
            <w:top w:val="none" w:sz="0" w:space="0" w:color="auto"/>
            <w:left w:val="none" w:sz="0" w:space="0" w:color="auto"/>
            <w:bottom w:val="none" w:sz="0" w:space="0" w:color="auto"/>
            <w:right w:val="none" w:sz="0" w:space="0" w:color="auto"/>
          </w:divBdr>
        </w:div>
        <w:div w:id="1398213134">
          <w:marLeft w:val="0"/>
          <w:marRight w:val="0"/>
          <w:marTop w:val="0"/>
          <w:marBottom w:val="0"/>
          <w:divBdr>
            <w:top w:val="none" w:sz="0" w:space="0" w:color="auto"/>
            <w:left w:val="none" w:sz="0" w:space="0" w:color="auto"/>
            <w:bottom w:val="none" w:sz="0" w:space="0" w:color="auto"/>
            <w:right w:val="none" w:sz="0" w:space="0" w:color="auto"/>
          </w:divBdr>
        </w:div>
        <w:div w:id="1460681082">
          <w:marLeft w:val="0"/>
          <w:marRight w:val="0"/>
          <w:marTop w:val="0"/>
          <w:marBottom w:val="0"/>
          <w:divBdr>
            <w:top w:val="none" w:sz="0" w:space="0" w:color="auto"/>
            <w:left w:val="none" w:sz="0" w:space="0" w:color="auto"/>
            <w:bottom w:val="none" w:sz="0" w:space="0" w:color="auto"/>
            <w:right w:val="none" w:sz="0" w:space="0" w:color="auto"/>
          </w:divBdr>
        </w:div>
        <w:div w:id="469786905">
          <w:marLeft w:val="0"/>
          <w:marRight w:val="0"/>
          <w:marTop w:val="0"/>
          <w:marBottom w:val="0"/>
          <w:divBdr>
            <w:top w:val="none" w:sz="0" w:space="0" w:color="auto"/>
            <w:left w:val="none" w:sz="0" w:space="0" w:color="auto"/>
            <w:bottom w:val="none" w:sz="0" w:space="0" w:color="auto"/>
            <w:right w:val="none" w:sz="0" w:space="0" w:color="auto"/>
          </w:divBdr>
        </w:div>
        <w:div w:id="784665315">
          <w:marLeft w:val="0"/>
          <w:marRight w:val="0"/>
          <w:marTop w:val="0"/>
          <w:marBottom w:val="0"/>
          <w:divBdr>
            <w:top w:val="none" w:sz="0" w:space="0" w:color="auto"/>
            <w:left w:val="none" w:sz="0" w:space="0" w:color="auto"/>
            <w:bottom w:val="none" w:sz="0" w:space="0" w:color="auto"/>
            <w:right w:val="none" w:sz="0" w:space="0" w:color="auto"/>
          </w:divBdr>
        </w:div>
        <w:div w:id="866529314">
          <w:marLeft w:val="0"/>
          <w:marRight w:val="0"/>
          <w:marTop w:val="0"/>
          <w:marBottom w:val="0"/>
          <w:divBdr>
            <w:top w:val="none" w:sz="0" w:space="0" w:color="auto"/>
            <w:left w:val="none" w:sz="0" w:space="0" w:color="auto"/>
            <w:bottom w:val="none" w:sz="0" w:space="0" w:color="auto"/>
            <w:right w:val="none" w:sz="0" w:space="0" w:color="auto"/>
          </w:divBdr>
        </w:div>
        <w:div w:id="569272444">
          <w:marLeft w:val="0"/>
          <w:marRight w:val="0"/>
          <w:marTop w:val="0"/>
          <w:marBottom w:val="0"/>
          <w:divBdr>
            <w:top w:val="none" w:sz="0" w:space="0" w:color="auto"/>
            <w:left w:val="none" w:sz="0" w:space="0" w:color="auto"/>
            <w:bottom w:val="none" w:sz="0" w:space="0" w:color="auto"/>
            <w:right w:val="none" w:sz="0" w:space="0" w:color="auto"/>
          </w:divBdr>
        </w:div>
        <w:div w:id="176116721">
          <w:marLeft w:val="0"/>
          <w:marRight w:val="0"/>
          <w:marTop w:val="0"/>
          <w:marBottom w:val="0"/>
          <w:divBdr>
            <w:top w:val="none" w:sz="0" w:space="0" w:color="auto"/>
            <w:left w:val="none" w:sz="0" w:space="0" w:color="auto"/>
            <w:bottom w:val="none" w:sz="0" w:space="0" w:color="auto"/>
            <w:right w:val="none" w:sz="0" w:space="0" w:color="auto"/>
          </w:divBdr>
        </w:div>
        <w:div w:id="1691488097">
          <w:marLeft w:val="0"/>
          <w:marRight w:val="0"/>
          <w:marTop w:val="0"/>
          <w:marBottom w:val="0"/>
          <w:divBdr>
            <w:top w:val="none" w:sz="0" w:space="0" w:color="auto"/>
            <w:left w:val="none" w:sz="0" w:space="0" w:color="auto"/>
            <w:bottom w:val="none" w:sz="0" w:space="0" w:color="auto"/>
            <w:right w:val="none" w:sz="0" w:space="0" w:color="auto"/>
          </w:divBdr>
        </w:div>
        <w:div w:id="2059821962">
          <w:marLeft w:val="0"/>
          <w:marRight w:val="0"/>
          <w:marTop w:val="0"/>
          <w:marBottom w:val="0"/>
          <w:divBdr>
            <w:top w:val="none" w:sz="0" w:space="0" w:color="auto"/>
            <w:left w:val="none" w:sz="0" w:space="0" w:color="auto"/>
            <w:bottom w:val="none" w:sz="0" w:space="0" w:color="auto"/>
            <w:right w:val="none" w:sz="0" w:space="0" w:color="auto"/>
          </w:divBdr>
        </w:div>
        <w:div w:id="1172767944">
          <w:marLeft w:val="0"/>
          <w:marRight w:val="0"/>
          <w:marTop w:val="0"/>
          <w:marBottom w:val="0"/>
          <w:divBdr>
            <w:top w:val="none" w:sz="0" w:space="0" w:color="auto"/>
            <w:left w:val="none" w:sz="0" w:space="0" w:color="auto"/>
            <w:bottom w:val="none" w:sz="0" w:space="0" w:color="auto"/>
            <w:right w:val="none" w:sz="0" w:space="0" w:color="auto"/>
          </w:divBdr>
        </w:div>
        <w:div w:id="39017965">
          <w:marLeft w:val="0"/>
          <w:marRight w:val="0"/>
          <w:marTop w:val="0"/>
          <w:marBottom w:val="0"/>
          <w:divBdr>
            <w:top w:val="none" w:sz="0" w:space="0" w:color="auto"/>
            <w:left w:val="none" w:sz="0" w:space="0" w:color="auto"/>
            <w:bottom w:val="none" w:sz="0" w:space="0" w:color="auto"/>
            <w:right w:val="none" w:sz="0" w:space="0" w:color="auto"/>
          </w:divBdr>
        </w:div>
        <w:div w:id="2018919361">
          <w:marLeft w:val="0"/>
          <w:marRight w:val="0"/>
          <w:marTop w:val="0"/>
          <w:marBottom w:val="0"/>
          <w:divBdr>
            <w:top w:val="none" w:sz="0" w:space="0" w:color="auto"/>
            <w:left w:val="none" w:sz="0" w:space="0" w:color="auto"/>
            <w:bottom w:val="none" w:sz="0" w:space="0" w:color="auto"/>
            <w:right w:val="none" w:sz="0" w:space="0" w:color="auto"/>
          </w:divBdr>
        </w:div>
        <w:div w:id="1826121759">
          <w:marLeft w:val="0"/>
          <w:marRight w:val="0"/>
          <w:marTop w:val="0"/>
          <w:marBottom w:val="0"/>
          <w:divBdr>
            <w:top w:val="none" w:sz="0" w:space="0" w:color="auto"/>
            <w:left w:val="none" w:sz="0" w:space="0" w:color="auto"/>
            <w:bottom w:val="none" w:sz="0" w:space="0" w:color="auto"/>
            <w:right w:val="none" w:sz="0" w:space="0" w:color="auto"/>
          </w:divBdr>
        </w:div>
        <w:div w:id="168953657">
          <w:marLeft w:val="0"/>
          <w:marRight w:val="0"/>
          <w:marTop w:val="0"/>
          <w:marBottom w:val="0"/>
          <w:divBdr>
            <w:top w:val="none" w:sz="0" w:space="0" w:color="auto"/>
            <w:left w:val="none" w:sz="0" w:space="0" w:color="auto"/>
            <w:bottom w:val="none" w:sz="0" w:space="0" w:color="auto"/>
            <w:right w:val="none" w:sz="0" w:space="0" w:color="auto"/>
          </w:divBdr>
        </w:div>
        <w:div w:id="400832338">
          <w:marLeft w:val="0"/>
          <w:marRight w:val="0"/>
          <w:marTop w:val="0"/>
          <w:marBottom w:val="0"/>
          <w:divBdr>
            <w:top w:val="none" w:sz="0" w:space="0" w:color="auto"/>
            <w:left w:val="none" w:sz="0" w:space="0" w:color="auto"/>
            <w:bottom w:val="none" w:sz="0" w:space="0" w:color="auto"/>
            <w:right w:val="none" w:sz="0" w:space="0" w:color="auto"/>
          </w:divBdr>
        </w:div>
        <w:div w:id="1311447527">
          <w:marLeft w:val="0"/>
          <w:marRight w:val="0"/>
          <w:marTop w:val="0"/>
          <w:marBottom w:val="0"/>
          <w:divBdr>
            <w:top w:val="none" w:sz="0" w:space="0" w:color="auto"/>
            <w:left w:val="none" w:sz="0" w:space="0" w:color="auto"/>
            <w:bottom w:val="none" w:sz="0" w:space="0" w:color="auto"/>
            <w:right w:val="none" w:sz="0" w:space="0" w:color="auto"/>
          </w:divBdr>
        </w:div>
        <w:div w:id="1006133803">
          <w:marLeft w:val="0"/>
          <w:marRight w:val="0"/>
          <w:marTop w:val="0"/>
          <w:marBottom w:val="0"/>
          <w:divBdr>
            <w:top w:val="none" w:sz="0" w:space="0" w:color="auto"/>
            <w:left w:val="none" w:sz="0" w:space="0" w:color="auto"/>
            <w:bottom w:val="none" w:sz="0" w:space="0" w:color="auto"/>
            <w:right w:val="none" w:sz="0" w:space="0" w:color="auto"/>
          </w:divBdr>
        </w:div>
        <w:div w:id="1085495759">
          <w:marLeft w:val="0"/>
          <w:marRight w:val="0"/>
          <w:marTop w:val="0"/>
          <w:marBottom w:val="0"/>
          <w:divBdr>
            <w:top w:val="none" w:sz="0" w:space="0" w:color="auto"/>
            <w:left w:val="none" w:sz="0" w:space="0" w:color="auto"/>
            <w:bottom w:val="none" w:sz="0" w:space="0" w:color="auto"/>
            <w:right w:val="none" w:sz="0" w:space="0" w:color="auto"/>
          </w:divBdr>
        </w:div>
        <w:div w:id="1863205027">
          <w:marLeft w:val="0"/>
          <w:marRight w:val="0"/>
          <w:marTop w:val="0"/>
          <w:marBottom w:val="0"/>
          <w:divBdr>
            <w:top w:val="none" w:sz="0" w:space="0" w:color="auto"/>
            <w:left w:val="none" w:sz="0" w:space="0" w:color="auto"/>
            <w:bottom w:val="none" w:sz="0" w:space="0" w:color="auto"/>
            <w:right w:val="none" w:sz="0" w:space="0" w:color="auto"/>
          </w:divBdr>
        </w:div>
        <w:div w:id="1022172881">
          <w:marLeft w:val="0"/>
          <w:marRight w:val="0"/>
          <w:marTop w:val="0"/>
          <w:marBottom w:val="0"/>
          <w:divBdr>
            <w:top w:val="none" w:sz="0" w:space="0" w:color="auto"/>
            <w:left w:val="none" w:sz="0" w:space="0" w:color="auto"/>
            <w:bottom w:val="none" w:sz="0" w:space="0" w:color="auto"/>
            <w:right w:val="none" w:sz="0" w:space="0" w:color="auto"/>
          </w:divBdr>
        </w:div>
        <w:div w:id="1297293582">
          <w:marLeft w:val="0"/>
          <w:marRight w:val="0"/>
          <w:marTop w:val="0"/>
          <w:marBottom w:val="0"/>
          <w:divBdr>
            <w:top w:val="none" w:sz="0" w:space="0" w:color="auto"/>
            <w:left w:val="none" w:sz="0" w:space="0" w:color="auto"/>
            <w:bottom w:val="none" w:sz="0" w:space="0" w:color="auto"/>
            <w:right w:val="none" w:sz="0" w:space="0" w:color="auto"/>
          </w:divBdr>
        </w:div>
        <w:div w:id="554121268">
          <w:marLeft w:val="0"/>
          <w:marRight w:val="0"/>
          <w:marTop w:val="0"/>
          <w:marBottom w:val="0"/>
          <w:divBdr>
            <w:top w:val="none" w:sz="0" w:space="0" w:color="auto"/>
            <w:left w:val="none" w:sz="0" w:space="0" w:color="auto"/>
            <w:bottom w:val="none" w:sz="0" w:space="0" w:color="auto"/>
            <w:right w:val="none" w:sz="0" w:space="0" w:color="auto"/>
          </w:divBdr>
        </w:div>
        <w:div w:id="1190603988">
          <w:marLeft w:val="0"/>
          <w:marRight w:val="0"/>
          <w:marTop w:val="0"/>
          <w:marBottom w:val="0"/>
          <w:divBdr>
            <w:top w:val="none" w:sz="0" w:space="0" w:color="auto"/>
            <w:left w:val="none" w:sz="0" w:space="0" w:color="auto"/>
            <w:bottom w:val="none" w:sz="0" w:space="0" w:color="auto"/>
            <w:right w:val="none" w:sz="0" w:space="0" w:color="auto"/>
          </w:divBdr>
        </w:div>
      </w:divsChild>
    </w:div>
    <w:div w:id="1140997965">
      <w:bodyDiv w:val="1"/>
      <w:marLeft w:val="0"/>
      <w:marRight w:val="0"/>
      <w:marTop w:val="0"/>
      <w:marBottom w:val="0"/>
      <w:divBdr>
        <w:top w:val="none" w:sz="0" w:space="0" w:color="auto"/>
        <w:left w:val="none" w:sz="0" w:space="0" w:color="auto"/>
        <w:bottom w:val="none" w:sz="0" w:space="0" w:color="auto"/>
        <w:right w:val="none" w:sz="0" w:space="0" w:color="auto"/>
      </w:divBdr>
    </w:div>
    <w:div w:id="1292009086">
      <w:bodyDiv w:val="1"/>
      <w:marLeft w:val="0"/>
      <w:marRight w:val="0"/>
      <w:marTop w:val="0"/>
      <w:marBottom w:val="0"/>
      <w:divBdr>
        <w:top w:val="none" w:sz="0" w:space="0" w:color="auto"/>
        <w:left w:val="none" w:sz="0" w:space="0" w:color="auto"/>
        <w:bottom w:val="none" w:sz="0" w:space="0" w:color="auto"/>
        <w:right w:val="none" w:sz="0" w:space="0" w:color="auto"/>
      </w:divBdr>
      <w:divsChild>
        <w:div w:id="459300355">
          <w:marLeft w:val="547"/>
          <w:marRight w:val="0"/>
          <w:marTop w:val="77"/>
          <w:marBottom w:val="0"/>
          <w:divBdr>
            <w:top w:val="none" w:sz="0" w:space="0" w:color="auto"/>
            <w:left w:val="none" w:sz="0" w:space="0" w:color="auto"/>
            <w:bottom w:val="none" w:sz="0" w:space="0" w:color="auto"/>
            <w:right w:val="none" w:sz="0" w:space="0" w:color="auto"/>
          </w:divBdr>
        </w:div>
        <w:div w:id="1707796">
          <w:marLeft w:val="547"/>
          <w:marRight w:val="0"/>
          <w:marTop w:val="77"/>
          <w:marBottom w:val="0"/>
          <w:divBdr>
            <w:top w:val="none" w:sz="0" w:space="0" w:color="auto"/>
            <w:left w:val="none" w:sz="0" w:space="0" w:color="auto"/>
            <w:bottom w:val="none" w:sz="0" w:space="0" w:color="auto"/>
            <w:right w:val="none" w:sz="0" w:space="0" w:color="auto"/>
          </w:divBdr>
        </w:div>
        <w:div w:id="517887838">
          <w:marLeft w:val="547"/>
          <w:marRight w:val="0"/>
          <w:marTop w:val="77"/>
          <w:marBottom w:val="0"/>
          <w:divBdr>
            <w:top w:val="none" w:sz="0" w:space="0" w:color="auto"/>
            <w:left w:val="none" w:sz="0" w:space="0" w:color="auto"/>
            <w:bottom w:val="none" w:sz="0" w:space="0" w:color="auto"/>
            <w:right w:val="none" w:sz="0" w:space="0" w:color="auto"/>
          </w:divBdr>
        </w:div>
      </w:divsChild>
    </w:div>
    <w:div w:id="1517764840">
      <w:bodyDiv w:val="1"/>
      <w:marLeft w:val="0"/>
      <w:marRight w:val="0"/>
      <w:marTop w:val="0"/>
      <w:marBottom w:val="0"/>
      <w:divBdr>
        <w:top w:val="none" w:sz="0" w:space="0" w:color="auto"/>
        <w:left w:val="none" w:sz="0" w:space="0" w:color="auto"/>
        <w:bottom w:val="none" w:sz="0" w:space="0" w:color="auto"/>
        <w:right w:val="none" w:sz="0" w:space="0" w:color="auto"/>
      </w:divBdr>
    </w:div>
    <w:div w:id="1613198696">
      <w:bodyDiv w:val="1"/>
      <w:marLeft w:val="0"/>
      <w:marRight w:val="0"/>
      <w:marTop w:val="0"/>
      <w:marBottom w:val="0"/>
      <w:divBdr>
        <w:top w:val="none" w:sz="0" w:space="0" w:color="auto"/>
        <w:left w:val="none" w:sz="0" w:space="0" w:color="auto"/>
        <w:bottom w:val="none" w:sz="0" w:space="0" w:color="auto"/>
        <w:right w:val="none" w:sz="0" w:space="0" w:color="auto"/>
      </w:divBdr>
    </w:div>
    <w:div w:id="1614941469">
      <w:bodyDiv w:val="1"/>
      <w:marLeft w:val="0"/>
      <w:marRight w:val="0"/>
      <w:marTop w:val="0"/>
      <w:marBottom w:val="0"/>
      <w:divBdr>
        <w:top w:val="none" w:sz="0" w:space="0" w:color="auto"/>
        <w:left w:val="none" w:sz="0" w:space="0" w:color="auto"/>
        <w:bottom w:val="none" w:sz="0" w:space="0" w:color="auto"/>
        <w:right w:val="none" w:sz="0" w:space="0" w:color="auto"/>
      </w:divBdr>
    </w:div>
    <w:div w:id="1813251350">
      <w:bodyDiv w:val="1"/>
      <w:marLeft w:val="0"/>
      <w:marRight w:val="0"/>
      <w:marTop w:val="0"/>
      <w:marBottom w:val="0"/>
      <w:divBdr>
        <w:top w:val="none" w:sz="0" w:space="0" w:color="auto"/>
        <w:left w:val="none" w:sz="0" w:space="0" w:color="auto"/>
        <w:bottom w:val="none" w:sz="0" w:space="0" w:color="auto"/>
        <w:right w:val="none" w:sz="0" w:space="0" w:color="auto"/>
      </w:divBdr>
      <w:divsChild>
        <w:div w:id="1618489211">
          <w:marLeft w:val="547"/>
          <w:marRight w:val="0"/>
          <w:marTop w:val="77"/>
          <w:marBottom w:val="0"/>
          <w:divBdr>
            <w:top w:val="none" w:sz="0" w:space="0" w:color="auto"/>
            <w:left w:val="none" w:sz="0" w:space="0" w:color="auto"/>
            <w:bottom w:val="none" w:sz="0" w:space="0" w:color="auto"/>
            <w:right w:val="none" w:sz="0" w:space="0" w:color="auto"/>
          </w:divBdr>
        </w:div>
        <w:div w:id="958947829">
          <w:marLeft w:val="547"/>
          <w:marRight w:val="0"/>
          <w:marTop w:val="77"/>
          <w:marBottom w:val="0"/>
          <w:divBdr>
            <w:top w:val="none" w:sz="0" w:space="0" w:color="auto"/>
            <w:left w:val="none" w:sz="0" w:space="0" w:color="auto"/>
            <w:bottom w:val="none" w:sz="0" w:space="0" w:color="auto"/>
            <w:right w:val="none" w:sz="0" w:space="0" w:color="auto"/>
          </w:divBdr>
        </w:div>
        <w:div w:id="1994873501">
          <w:marLeft w:val="547"/>
          <w:marRight w:val="0"/>
          <w:marTop w:val="77"/>
          <w:marBottom w:val="0"/>
          <w:divBdr>
            <w:top w:val="none" w:sz="0" w:space="0" w:color="auto"/>
            <w:left w:val="none" w:sz="0" w:space="0" w:color="auto"/>
            <w:bottom w:val="none" w:sz="0" w:space="0" w:color="auto"/>
            <w:right w:val="none" w:sz="0" w:space="0" w:color="auto"/>
          </w:divBdr>
        </w:div>
        <w:div w:id="1395856785">
          <w:marLeft w:val="547"/>
          <w:marRight w:val="0"/>
          <w:marTop w:val="77"/>
          <w:marBottom w:val="0"/>
          <w:divBdr>
            <w:top w:val="none" w:sz="0" w:space="0" w:color="auto"/>
            <w:left w:val="none" w:sz="0" w:space="0" w:color="auto"/>
            <w:bottom w:val="none" w:sz="0" w:space="0" w:color="auto"/>
            <w:right w:val="none" w:sz="0" w:space="0" w:color="auto"/>
          </w:divBdr>
        </w:div>
      </w:divsChild>
    </w:div>
    <w:div w:id="1829976082">
      <w:bodyDiv w:val="1"/>
      <w:marLeft w:val="0"/>
      <w:marRight w:val="0"/>
      <w:marTop w:val="0"/>
      <w:marBottom w:val="0"/>
      <w:divBdr>
        <w:top w:val="none" w:sz="0" w:space="0" w:color="auto"/>
        <w:left w:val="none" w:sz="0" w:space="0" w:color="auto"/>
        <w:bottom w:val="none" w:sz="0" w:space="0" w:color="auto"/>
        <w:right w:val="none" w:sz="0" w:space="0" w:color="auto"/>
      </w:divBdr>
    </w:div>
    <w:div w:id="1873375782">
      <w:bodyDiv w:val="1"/>
      <w:marLeft w:val="0"/>
      <w:marRight w:val="0"/>
      <w:marTop w:val="0"/>
      <w:marBottom w:val="0"/>
      <w:divBdr>
        <w:top w:val="none" w:sz="0" w:space="0" w:color="auto"/>
        <w:left w:val="none" w:sz="0" w:space="0" w:color="auto"/>
        <w:bottom w:val="none" w:sz="0" w:space="0" w:color="auto"/>
        <w:right w:val="none" w:sz="0" w:space="0" w:color="auto"/>
      </w:divBdr>
    </w:div>
    <w:div w:id="1916430987">
      <w:bodyDiv w:val="1"/>
      <w:marLeft w:val="0"/>
      <w:marRight w:val="0"/>
      <w:marTop w:val="0"/>
      <w:marBottom w:val="0"/>
      <w:divBdr>
        <w:top w:val="none" w:sz="0" w:space="0" w:color="auto"/>
        <w:left w:val="none" w:sz="0" w:space="0" w:color="auto"/>
        <w:bottom w:val="none" w:sz="0" w:space="0" w:color="auto"/>
        <w:right w:val="none" w:sz="0" w:space="0" w:color="auto"/>
      </w:divBdr>
    </w:div>
    <w:div w:id="1921982990">
      <w:bodyDiv w:val="1"/>
      <w:marLeft w:val="0"/>
      <w:marRight w:val="0"/>
      <w:marTop w:val="0"/>
      <w:marBottom w:val="0"/>
      <w:divBdr>
        <w:top w:val="none" w:sz="0" w:space="0" w:color="auto"/>
        <w:left w:val="none" w:sz="0" w:space="0" w:color="auto"/>
        <w:bottom w:val="none" w:sz="0" w:space="0" w:color="auto"/>
        <w:right w:val="none" w:sz="0" w:space="0" w:color="auto"/>
      </w:divBdr>
    </w:div>
    <w:div w:id="1930694298">
      <w:bodyDiv w:val="1"/>
      <w:marLeft w:val="0"/>
      <w:marRight w:val="0"/>
      <w:marTop w:val="0"/>
      <w:marBottom w:val="0"/>
      <w:divBdr>
        <w:top w:val="none" w:sz="0" w:space="0" w:color="auto"/>
        <w:left w:val="none" w:sz="0" w:space="0" w:color="auto"/>
        <w:bottom w:val="none" w:sz="0" w:space="0" w:color="auto"/>
        <w:right w:val="none" w:sz="0" w:space="0" w:color="auto"/>
      </w:divBdr>
      <w:divsChild>
        <w:div w:id="1326974639">
          <w:marLeft w:val="446"/>
          <w:marRight w:val="0"/>
          <w:marTop w:val="0"/>
          <w:marBottom w:val="0"/>
          <w:divBdr>
            <w:top w:val="none" w:sz="0" w:space="0" w:color="auto"/>
            <w:left w:val="none" w:sz="0" w:space="0" w:color="auto"/>
            <w:bottom w:val="none" w:sz="0" w:space="0" w:color="auto"/>
            <w:right w:val="none" w:sz="0" w:space="0" w:color="auto"/>
          </w:divBdr>
        </w:div>
      </w:divsChild>
    </w:div>
    <w:div w:id="2036299775">
      <w:bodyDiv w:val="1"/>
      <w:marLeft w:val="0"/>
      <w:marRight w:val="0"/>
      <w:marTop w:val="0"/>
      <w:marBottom w:val="0"/>
      <w:divBdr>
        <w:top w:val="none" w:sz="0" w:space="0" w:color="auto"/>
        <w:left w:val="none" w:sz="0" w:space="0" w:color="auto"/>
        <w:bottom w:val="none" w:sz="0" w:space="0" w:color="auto"/>
        <w:right w:val="none" w:sz="0" w:space="0" w:color="auto"/>
      </w:divBdr>
      <w:divsChild>
        <w:div w:id="1170683885">
          <w:marLeft w:val="547"/>
          <w:marRight w:val="0"/>
          <w:marTop w:val="77"/>
          <w:marBottom w:val="0"/>
          <w:divBdr>
            <w:top w:val="none" w:sz="0" w:space="0" w:color="auto"/>
            <w:left w:val="none" w:sz="0" w:space="0" w:color="auto"/>
            <w:bottom w:val="none" w:sz="0" w:space="0" w:color="auto"/>
            <w:right w:val="none" w:sz="0" w:space="0" w:color="auto"/>
          </w:divBdr>
        </w:div>
        <w:div w:id="372509565">
          <w:marLeft w:val="547"/>
          <w:marRight w:val="0"/>
          <w:marTop w:val="77"/>
          <w:marBottom w:val="0"/>
          <w:divBdr>
            <w:top w:val="none" w:sz="0" w:space="0" w:color="auto"/>
            <w:left w:val="none" w:sz="0" w:space="0" w:color="auto"/>
            <w:bottom w:val="none" w:sz="0" w:space="0" w:color="auto"/>
            <w:right w:val="none" w:sz="0" w:space="0" w:color="auto"/>
          </w:divBdr>
        </w:div>
        <w:div w:id="1206023288">
          <w:marLeft w:val="547"/>
          <w:marRight w:val="0"/>
          <w:marTop w:val="77"/>
          <w:marBottom w:val="0"/>
          <w:divBdr>
            <w:top w:val="none" w:sz="0" w:space="0" w:color="auto"/>
            <w:left w:val="none" w:sz="0" w:space="0" w:color="auto"/>
            <w:bottom w:val="none" w:sz="0" w:space="0" w:color="auto"/>
            <w:right w:val="none" w:sz="0" w:space="0" w:color="auto"/>
          </w:divBdr>
        </w:div>
        <w:div w:id="1177110844">
          <w:marLeft w:val="547"/>
          <w:marRight w:val="0"/>
          <w:marTop w:val="77"/>
          <w:marBottom w:val="0"/>
          <w:divBdr>
            <w:top w:val="none" w:sz="0" w:space="0" w:color="auto"/>
            <w:left w:val="none" w:sz="0" w:space="0" w:color="auto"/>
            <w:bottom w:val="none" w:sz="0" w:space="0" w:color="auto"/>
            <w:right w:val="none" w:sz="0" w:space="0" w:color="auto"/>
          </w:divBdr>
        </w:div>
        <w:div w:id="1610746322">
          <w:marLeft w:val="547"/>
          <w:marRight w:val="0"/>
          <w:marTop w:val="77"/>
          <w:marBottom w:val="0"/>
          <w:divBdr>
            <w:top w:val="none" w:sz="0" w:space="0" w:color="auto"/>
            <w:left w:val="none" w:sz="0" w:space="0" w:color="auto"/>
            <w:bottom w:val="none" w:sz="0" w:space="0" w:color="auto"/>
            <w:right w:val="none" w:sz="0" w:space="0" w:color="auto"/>
          </w:divBdr>
        </w:div>
        <w:div w:id="1121999133">
          <w:marLeft w:val="547"/>
          <w:marRight w:val="0"/>
          <w:marTop w:val="77"/>
          <w:marBottom w:val="0"/>
          <w:divBdr>
            <w:top w:val="none" w:sz="0" w:space="0" w:color="auto"/>
            <w:left w:val="none" w:sz="0" w:space="0" w:color="auto"/>
            <w:bottom w:val="none" w:sz="0" w:space="0" w:color="auto"/>
            <w:right w:val="none" w:sz="0" w:space="0" w:color="auto"/>
          </w:divBdr>
        </w:div>
        <w:div w:id="1760177515">
          <w:marLeft w:val="547"/>
          <w:marRight w:val="0"/>
          <w:marTop w:val="7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pyy.gov.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F810-F339-4465-94DA-E1B369C2D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8731</Words>
  <Characters>47150</Characters>
  <Application>Microsoft Office Word</Application>
  <DocSecurity>0</DocSecurity>
  <Lines>392</Lines>
  <Paragraphs>111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Mylona</dc:creator>
  <cp:lastModifiedBy>user1090</cp:lastModifiedBy>
  <cp:revision>2</cp:revision>
  <cp:lastPrinted>2015-11-05T08:12:00Z</cp:lastPrinted>
  <dcterms:created xsi:type="dcterms:W3CDTF">2015-11-05T08:29:00Z</dcterms:created>
  <dcterms:modified xsi:type="dcterms:W3CDTF">2015-11-05T08:29:00Z</dcterms:modified>
</cp:coreProperties>
</file>