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9D" w:rsidRDefault="0061299D">
      <w:pPr>
        <w:pStyle w:val="a5"/>
        <w:rPr>
          <w:rFonts w:ascii="Calibri" w:hAnsi="Calibri"/>
          <w:b/>
          <w:bCs/>
          <w:sz w:val="24"/>
          <w:lang w:val="en-US"/>
        </w:rPr>
      </w:pPr>
    </w:p>
    <w:p w:rsidR="0061299D" w:rsidRDefault="0061299D">
      <w:pPr>
        <w:pStyle w:val="a5"/>
        <w:rPr>
          <w:rFonts w:ascii="Calibri" w:hAnsi="Calibri"/>
          <w:b/>
          <w:bCs/>
          <w:sz w:val="24"/>
          <w:lang w:val="en-US"/>
        </w:rPr>
      </w:pPr>
    </w:p>
    <w:p w:rsidR="0061299D" w:rsidRDefault="0061299D">
      <w:pPr>
        <w:pStyle w:val="a5"/>
        <w:rPr>
          <w:rFonts w:ascii="Calibri" w:hAnsi="Calibri"/>
          <w:b/>
          <w:bCs/>
          <w:sz w:val="24"/>
        </w:rPr>
      </w:pPr>
    </w:p>
    <w:p w:rsidR="0061299D" w:rsidRDefault="002738B6">
      <w:pPr>
        <w:tabs>
          <w:tab w:val="left" w:pos="7513"/>
        </w:tabs>
        <w:rPr>
          <w:rFonts w:ascii="Calibri" w:hAnsi="Calibri" w:cs="Tahoma"/>
          <w:sz w:val="28"/>
          <w:u w:val="single"/>
        </w:rPr>
      </w:pPr>
      <w:r>
        <w:rPr>
          <w:rFonts w:ascii="Calibri" w:hAnsi="Calibri" w:cs="Tahoma"/>
          <w:sz w:val="28"/>
        </w:rPr>
        <w:t xml:space="preserve">                   </w:t>
      </w:r>
      <w:r w:rsidRPr="0061299D">
        <w:rPr>
          <w:rFonts w:ascii="Calibri" w:hAnsi="Calibri" w:cs="Tahoma"/>
          <w:sz w:val="28"/>
        </w:rPr>
        <w:object w:dxaOrig="961" w:dyaOrig="9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1pt" o:ole="" fillcolor="window">
            <v:imagedata r:id="rId7" o:title=""/>
          </v:shape>
          <o:OLEObject Type="Embed" ProgID="Word.Picture.8" ShapeID="_x0000_i1025" DrawAspect="Content" ObjectID="_1435340400" r:id="rId8"/>
        </w:object>
      </w:r>
      <w:r>
        <w:rPr>
          <w:rFonts w:ascii="Calibri" w:hAnsi="Calibri" w:cs="Tahoma"/>
          <w:sz w:val="28"/>
        </w:rPr>
        <w:tab/>
      </w:r>
    </w:p>
    <w:p w:rsidR="0061299D" w:rsidRDefault="002738B6">
      <w:pPr>
        <w:pStyle w:val="a3"/>
        <w:rPr>
          <w:rFonts w:ascii="Calibri" w:hAnsi="Calibri" w:cs="Tahoma"/>
          <w:b/>
          <w:sz w:val="24"/>
        </w:rPr>
      </w:pPr>
      <w:r>
        <w:rPr>
          <w:rFonts w:ascii="Calibri" w:hAnsi="Calibri" w:cs="Tahoma"/>
          <w:b/>
          <w:sz w:val="24"/>
        </w:rPr>
        <w:t xml:space="preserve">           ΕΛΛΗΝΙΚΗ  ΔΗΜΟΚΡΑΤΙΑ</w:t>
      </w:r>
    </w:p>
    <w:p w:rsidR="0061299D" w:rsidRDefault="002738B6">
      <w:pPr>
        <w:pStyle w:val="1"/>
        <w:tabs>
          <w:tab w:val="left" w:pos="7513"/>
        </w:tabs>
        <w:rPr>
          <w:rFonts w:ascii="Calibri" w:hAnsi="Calibri" w:cs="Tahoma"/>
        </w:rPr>
      </w:pPr>
      <w:r>
        <w:rPr>
          <w:rFonts w:ascii="Calibri" w:hAnsi="Calibri" w:cs="Tahoma"/>
        </w:rPr>
        <w:t>ΥΠΟΥΡΓΕΙΟ ΥΓΕΙΑΣ &amp; ΚΟΙΝ. ΑΛΛΗΛΕΓΓΥΗΣ</w:t>
      </w:r>
    </w:p>
    <w:p w:rsidR="0061299D" w:rsidRDefault="002738B6">
      <w:pPr>
        <w:pStyle w:val="1"/>
        <w:tabs>
          <w:tab w:val="left" w:pos="7513"/>
        </w:tabs>
        <w:rPr>
          <w:rFonts w:ascii="Calibri" w:hAnsi="Calibri" w:cs="Tahoma"/>
          <w:b w:val="0"/>
        </w:rPr>
      </w:pPr>
      <w:r>
        <w:rPr>
          <w:rFonts w:ascii="Calibri" w:hAnsi="Calibri" w:cs="Tahoma"/>
        </w:rPr>
        <w:t xml:space="preserve">   ΕΘΝΙΚΟΣ ΟΡΓΑΝΙΣΜΟΣ ΦΑΡΜΑΚΩΝ</w:t>
      </w:r>
      <w:r>
        <w:rPr>
          <w:rFonts w:ascii="Calibri" w:hAnsi="Calibri" w:cs="Tahoma"/>
        </w:rPr>
        <w:tab/>
      </w:r>
      <w:r w:rsidR="009520EC">
        <w:rPr>
          <w:rFonts w:ascii="Calibri" w:hAnsi="Calibri" w:cs="Tahoma"/>
          <w:b w:val="0"/>
        </w:rPr>
        <w:t xml:space="preserve">Αθήνα, </w:t>
      </w:r>
      <w:r w:rsidR="00401786" w:rsidRPr="00607CD4">
        <w:rPr>
          <w:rFonts w:ascii="Calibri" w:hAnsi="Calibri" w:cs="Tahoma"/>
          <w:b w:val="0"/>
        </w:rPr>
        <w:t>2</w:t>
      </w:r>
      <w:r>
        <w:rPr>
          <w:rFonts w:ascii="Calibri" w:hAnsi="Calibri" w:cs="Tahoma"/>
          <w:b w:val="0"/>
        </w:rPr>
        <w:t>.</w:t>
      </w:r>
      <w:r w:rsidR="00401786" w:rsidRPr="00607CD4">
        <w:rPr>
          <w:rFonts w:ascii="Calibri" w:hAnsi="Calibri" w:cs="Tahoma"/>
          <w:b w:val="0"/>
        </w:rPr>
        <w:t>7</w:t>
      </w:r>
      <w:r>
        <w:rPr>
          <w:rFonts w:ascii="Calibri" w:hAnsi="Calibri" w:cs="Tahoma"/>
          <w:b w:val="0"/>
        </w:rPr>
        <w:t>.13</w:t>
      </w:r>
    </w:p>
    <w:p w:rsidR="0061299D" w:rsidRDefault="002738B6">
      <w:pPr>
        <w:pStyle w:val="1"/>
        <w:tabs>
          <w:tab w:val="left" w:pos="7513"/>
        </w:tabs>
        <w:rPr>
          <w:rFonts w:ascii="Calibri" w:hAnsi="Calibri" w:cs="Tahoma"/>
          <w:b w:val="0"/>
        </w:rPr>
      </w:pPr>
      <w:r>
        <w:rPr>
          <w:rFonts w:ascii="Calibri" w:hAnsi="Calibri" w:cs="Tahoma"/>
        </w:rPr>
        <w:t xml:space="preserve">    Μεσογείων 284, 155 62 Χολαργός</w:t>
      </w:r>
      <w:r>
        <w:rPr>
          <w:rFonts w:ascii="Calibri" w:hAnsi="Calibri" w:cs="Tahoma"/>
        </w:rPr>
        <w:tab/>
      </w:r>
    </w:p>
    <w:p w:rsidR="0061299D" w:rsidRDefault="002738B6">
      <w:pPr>
        <w:tabs>
          <w:tab w:val="left" w:pos="1418"/>
          <w:tab w:val="left" w:pos="4962"/>
          <w:tab w:val="left" w:pos="5954"/>
        </w:tabs>
        <w:rPr>
          <w:rFonts w:ascii="Calibri" w:hAnsi="Calibri" w:cs="Tahoma"/>
          <w:b/>
          <w:sz w:val="24"/>
        </w:rPr>
      </w:pPr>
      <w:r>
        <w:rPr>
          <w:rFonts w:ascii="Calibri" w:hAnsi="Calibri" w:cs="Tahoma"/>
          <w:b/>
          <w:sz w:val="24"/>
        </w:rPr>
        <w:t xml:space="preserve">                     </w:t>
      </w:r>
      <w:hyperlink r:id="rId9" w:history="1">
        <w:r>
          <w:rPr>
            <w:rStyle w:val="-"/>
            <w:rFonts w:ascii="Calibri" w:hAnsi="Calibri" w:cs="Tahoma"/>
            <w:b/>
            <w:sz w:val="24"/>
            <w:lang w:val="en-US"/>
          </w:rPr>
          <w:t>www</w:t>
        </w:r>
        <w:r>
          <w:rPr>
            <w:rStyle w:val="-"/>
            <w:rFonts w:ascii="Calibri" w:hAnsi="Calibri" w:cs="Tahoma"/>
            <w:b/>
            <w:sz w:val="24"/>
          </w:rPr>
          <w:t>.</w:t>
        </w:r>
        <w:proofErr w:type="spellStart"/>
        <w:r>
          <w:rPr>
            <w:rStyle w:val="-"/>
            <w:rFonts w:ascii="Calibri" w:hAnsi="Calibri" w:cs="Tahoma"/>
            <w:b/>
            <w:sz w:val="24"/>
            <w:lang w:val="en-US"/>
          </w:rPr>
          <w:t>eof</w:t>
        </w:r>
        <w:proofErr w:type="spellEnd"/>
        <w:r>
          <w:rPr>
            <w:rStyle w:val="-"/>
            <w:rFonts w:ascii="Calibri" w:hAnsi="Calibri" w:cs="Tahoma"/>
            <w:b/>
            <w:sz w:val="24"/>
          </w:rPr>
          <w:t>.</w:t>
        </w:r>
        <w:proofErr w:type="spellStart"/>
        <w:r>
          <w:rPr>
            <w:rStyle w:val="-"/>
            <w:rFonts w:ascii="Calibri" w:hAnsi="Calibri" w:cs="Tahoma"/>
            <w:b/>
            <w:sz w:val="24"/>
            <w:lang w:val="en-US"/>
          </w:rPr>
          <w:t>gr</w:t>
        </w:r>
        <w:proofErr w:type="spellEnd"/>
      </w:hyperlink>
      <w:r>
        <w:rPr>
          <w:rFonts w:ascii="Calibri" w:hAnsi="Calibri" w:cs="Tahoma"/>
          <w:b/>
          <w:sz w:val="24"/>
        </w:rPr>
        <w:t xml:space="preserve"> </w:t>
      </w:r>
    </w:p>
    <w:p w:rsidR="0061299D" w:rsidRDefault="002738B6">
      <w:pPr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ab/>
      </w:r>
      <w:r>
        <w:rPr>
          <w:rFonts w:ascii="Calibri" w:hAnsi="Calibri" w:cs="Tahoma"/>
          <w:sz w:val="24"/>
        </w:rPr>
        <w:tab/>
      </w:r>
      <w:r>
        <w:rPr>
          <w:rFonts w:ascii="Calibri" w:hAnsi="Calibri" w:cs="Tahoma"/>
          <w:sz w:val="24"/>
        </w:rPr>
        <w:tab/>
      </w:r>
      <w:r>
        <w:rPr>
          <w:rFonts w:ascii="Calibri" w:hAnsi="Calibri" w:cs="Tahoma"/>
          <w:sz w:val="24"/>
        </w:rPr>
        <w:tab/>
        <w:t xml:space="preserve">    </w:t>
      </w:r>
      <w:r>
        <w:rPr>
          <w:rFonts w:ascii="Calibri" w:hAnsi="Calibri" w:cs="Tahoma"/>
          <w:sz w:val="24"/>
        </w:rPr>
        <w:tab/>
      </w:r>
      <w:r>
        <w:rPr>
          <w:rFonts w:ascii="Calibri" w:hAnsi="Calibri" w:cs="Tahoma"/>
          <w:sz w:val="24"/>
        </w:rPr>
        <w:tab/>
        <w:t xml:space="preserve">ΠΡΟΣ :  Πρόεδρο Επιτροπής Τιμών Φαρμάκων </w:t>
      </w:r>
    </w:p>
    <w:p w:rsidR="0061299D" w:rsidRDefault="0061299D">
      <w:pPr>
        <w:rPr>
          <w:rFonts w:ascii="Calibri" w:hAnsi="Calibri" w:cs="Tahoma"/>
          <w:sz w:val="22"/>
          <w:szCs w:val="22"/>
        </w:rPr>
      </w:pPr>
    </w:p>
    <w:p w:rsidR="0061299D" w:rsidRDefault="002738B6">
      <w:pPr>
        <w:tabs>
          <w:tab w:val="left" w:pos="1701"/>
        </w:tabs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t xml:space="preserve">Θέμα:    </w:t>
      </w:r>
      <w:r>
        <w:rPr>
          <w:rFonts w:ascii="Calibri" w:hAnsi="Calibri" w:cs="Tahoma"/>
          <w:b/>
          <w:sz w:val="28"/>
          <w:szCs w:val="28"/>
        </w:rPr>
        <w:tab/>
        <w:t>Διαβίβαση δεδομένων Τιμών Φαρμακευτικών Προϊόντων</w:t>
      </w:r>
    </w:p>
    <w:p w:rsidR="0061299D" w:rsidRDefault="002738B6">
      <w:pPr>
        <w:tabs>
          <w:tab w:val="left" w:pos="1701"/>
        </w:tabs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ab/>
      </w:r>
    </w:p>
    <w:p w:rsidR="0061299D" w:rsidRDefault="002738B6">
      <w:pPr>
        <w:tabs>
          <w:tab w:val="left" w:pos="1701"/>
        </w:tabs>
        <w:rPr>
          <w:rFonts w:ascii="Calibri" w:hAnsi="Calibri" w:cs="Tahoma"/>
          <w:sz w:val="24"/>
          <w:szCs w:val="28"/>
        </w:rPr>
      </w:pPr>
      <w:r>
        <w:rPr>
          <w:rFonts w:ascii="Calibri" w:hAnsi="Calibri" w:cs="Tahoma"/>
          <w:sz w:val="24"/>
          <w:szCs w:val="28"/>
        </w:rPr>
        <w:t xml:space="preserve">Αξιότιμε  Κύριε  Πρόεδρε, </w:t>
      </w:r>
    </w:p>
    <w:p w:rsidR="0061299D" w:rsidRPr="00926FEA" w:rsidRDefault="002738B6">
      <w:pPr>
        <w:tabs>
          <w:tab w:val="left" w:pos="1701"/>
        </w:tabs>
        <w:jc w:val="both"/>
        <w:rPr>
          <w:rFonts w:ascii="Calibri" w:hAnsi="Calibri" w:cs="Tahoma"/>
          <w:sz w:val="24"/>
          <w:szCs w:val="28"/>
        </w:rPr>
      </w:pPr>
      <w:r>
        <w:rPr>
          <w:rFonts w:ascii="Calibri" w:hAnsi="Calibri" w:cs="Tahoma"/>
          <w:sz w:val="24"/>
          <w:szCs w:val="28"/>
        </w:rPr>
        <w:t>Βάσει της προφορικής εντολής από τον κ. Υπουργό</w:t>
      </w:r>
      <w:r w:rsidR="009520EC" w:rsidRPr="009520EC">
        <w:rPr>
          <w:rFonts w:ascii="Calibri" w:hAnsi="Calibri" w:cs="Tahoma"/>
          <w:sz w:val="24"/>
          <w:szCs w:val="28"/>
        </w:rPr>
        <w:t xml:space="preserve">, </w:t>
      </w:r>
      <w:r>
        <w:rPr>
          <w:rFonts w:ascii="Calibri" w:hAnsi="Calibri" w:cs="Tahoma"/>
          <w:sz w:val="24"/>
          <w:szCs w:val="28"/>
        </w:rPr>
        <w:t>τιμολογήσ</w:t>
      </w:r>
      <w:r w:rsidR="009520EC">
        <w:rPr>
          <w:rFonts w:ascii="Calibri" w:hAnsi="Calibri" w:cs="Tahoma"/>
          <w:sz w:val="24"/>
          <w:szCs w:val="28"/>
        </w:rPr>
        <w:t>α</w:t>
      </w:r>
      <w:r>
        <w:rPr>
          <w:rFonts w:ascii="Calibri" w:hAnsi="Calibri" w:cs="Tahoma"/>
          <w:sz w:val="24"/>
          <w:szCs w:val="28"/>
        </w:rPr>
        <w:t xml:space="preserve">με </w:t>
      </w:r>
      <w:r w:rsidR="009520EC">
        <w:rPr>
          <w:rFonts w:ascii="Calibri" w:hAnsi="Calibri" w:cs="Tahoma"/>
          <w:sz w:val="24"/>
          <w:szCs w:val="28"/>
        </w:rPr>
        <w:t xml:space="preserve">όλα τα </w:t>
      </w:r>
      <w:proofErr w:type="spellStart"/>
      <w:r>
        <w:rPr>
          <w:rFonts w:ascii="Calibri" w:hAnsi="Calibri" w:cs="Tahoma"/>
          <w:sz w:val="24"/>
          <w:szCs w:val="28"/>
        </w:rPr>
        <w:t>γενόσημα</w:t>
      </w:r>
      <w:proofErr w:type="spellEnd"/>
      <w:r w:rsidR="009520EC">
        <w:rPr>
          <w:rFonts w:ascii="Calibri" w:hAnsi="Calibri" w:cs="Tahoma"/>
          <w:sz w:val="24"/>
          <w:szCs w:val="28"/>
        </w:rPr>
        <w:t xml:space="preserve"> φάρμακα που έχουν κατατεθεί στο Υπουργείο Ανάπτυξης, στο Υπουργείο Υγείας </w:t>
      </w:r>
      <w:r w:rsidR="00401786">
        <w:rPr>
          <w:rFonts w:ascii="Calibri" w:hAnsi="Calibri" w:cs="Tahoma"/>
          <w:sz w:val="24"/>
          <w:szCs w:val="28"/>
        </w:rPr>
        <w:t xml:space="preserve">και έχουν λάβει άδεια κυκλοφορίας </w:t>
      </w:r>
      <w:r w:rsidR="001D2009">
        <w:rPr>
          <w:rFonts w:ascii="Calibri" w:hAnsi="Calibri" w:cs="Tahoma"/>
          <w:sz w:val="24"/>
          <w:szCs w:val="28"/>
        </w:rPr>
        <w:t xml:space="preserve">μέχρι τέλος του 2011. </w:t>
      </w:r>
      <w:r w:rsidR="009520EC">
        <w:rPr>
          <w:rFonts w:ascii="Calibri" w:hAnsi="Calibri" w:cs="Tahoma"/>
          <w:sz w:val="24"/>
          <w:szCs w:val="28"/>
        </w:rPr>
        <w:t xml:space="preserve">Συνολικά τιμολογήθηκαν </w:t>
      </w:r>
      <w:r w:rsidR="00395CBE">
        <w:rPr>
          <w:rFonts w:ascii="Calibri" w:hAnsi="Calibri" w:cs="Tahoma"/>
          <w:sz w:val="24"/>
          <w:szCs w:val="28"/>
        </w:rPr>
        <w:t>763</w:t>
      </w:r>
      <w:r w:rsidR="00C6123B">
        <w:rPr>
          <w:rFonts w:ascii="Calibri" w:hAnsi="Calibri" w:cs="Tahoma"/>
          <w:sz w:val="24"/>
          <w:szCs w:val="28"/>
        </w:rPr>
        <w:t xml:space="preserve"> </w:t>
      </w:r>
      <w:r w:rsidR="009520EC">
        <w:rPr>
          <w:rFonts w:ascii="Calibri" w:hAnsi="Calibri" w:cs="Tahoma"/>
          <w:sz w:val="24"/>
          <w:szCs w:val="28"/>
        </w:rPr>
        <w:t>προϊόντα (κωδικοί συσκευασίας)</w:t>
      </w:r>
      <w:r w:rsidR="00C6123B">
        <w:rPr>
          <w:rFonts w:ascii="Calibri" w:hAnsi="Calibri" w:cs="Tahoma"/>
          <w:sz w:val="24"/>
          <w:szCs w:val="28"/>
        </w:rPr>
        <w:t>.</w:t>
      </w:r>
      <w:r w:rsidR="00926FEA" w:rsidRPr="00926FEA">
        <w:rPr>
          <w:rFonts w:ascii="Calibri" w:hAnsi="Calibri" w:cs="Tahoma"/>
          <w:sz w:val="24"/>
          <w:szCs w:val="28"/>
        </w:rPr>
        <w:t xml:space="preserve"> </w:t>
      </w:r>
    </w:p>
    <w:p w:rsidR="0061299D" w:rsidRPr="00306D0D" w:rsidRDefault="0061299D">
      <w:pPr>
        <w:tabs>
          <w:tab w:val="left" w:pos="1701"/>
        </w:tabs>
        <w:rPr>
          <w:rFonts w:ascii="Calibri" w:hAnsi="Calibri" w:cs="Tahoma"/>
          <w:sz w:val="16"/>
          <w:szCs w:val="16"/>
        </w:rPr>
      </w:pPr>
    </w:p>
    <w:p w:rsidR="004D5A2E" w:rsidRDefault="00926FEA">
      <w:pPr>
        <w:pStyle w:val="30"/>
      </w:pPr>
      <w:r>
        <w:t>Τα προϊόντα τιμολογήθηκαν στο 80 % της τιμής του προϊόντος αναφοράς. Σημειώνουμε ότι έγιναν αναγωγές στις συσκευασίες και περιεκτικότητες όπως ορίζει η νομοθεσία.</w:t>
      </w:r>
      <w:r w:rsidR="004D5A2E">
        <w:t xml:space="preserve"> </w:t>
      </w:r>
    </w:p>
    <w:p w:rsidR="004D5A2E" w:rsidRDefault="004D5A2E">
      <w:pPr>
        <w:pStyle w:val="30"/>
      </w:pPr>
    </w:p>
    <w:p w:rsidR="0061299D" w:rsidRPr="00A40682" w:rsidRDefault="004D5A2E">
      <w:pPr>
        <w:pStyle w:val="30"/>
      </w:pPr>
      <w:r>
        <w:t xml:space="preserve">Ορισμένα προϊόντα </w:t>
      </w:r>
      <w:r w:rsidR="008863D1">
        <w:t xml:space="preserve">και συγκεκριμένα αυτά που αναγράφονται παρακάτω </w:t>
      </w:r>
      <w:r>
        <w:t xml:space="preserve">τιμολογήθηκαν με αντιστοίχιση σε αντίγραφα </w:t>
      </w:r>
      <w:r w:rsidR="008863D1">
        <w:t xml:space="preserve">και μάλιστα στο πιο φθηνό αντίγραφο, </w:t>
      </w:r>
      <w:r>
        <w:t>διότι δεν υπήρχαν προϊόντα αναφοράς στο δελτίο τιμών. Οπότε η τιμή ήταν ίδια με την τιμή του αντιγράφου που επελέγη για αντιστοίχιση και όπου χρειαζόταν έγιναν οι αντίστοιχες αναγωγές συσκευασίας.</w:t>
      </w:r>
    </w:p>
    <w:p w:rsidR="003074E6" w:rsidRPr="00A40682" w:rsidRDefault="003074E6">
      <w:pPr>
        <w:pStyle w:val="30"/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ook w:val="04A0"/>
      </w:tblPr>
      <w:tblGrid>
        <w:gridCol w:w="1760"/>
        <w:gridCol w:w="7894"/>
      </w:tblGrid>
      <w:tr w:rsidR="001D2E1D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289770101</w:t>
            </w:r>
          </w:p>
        </w:tc>
        <w:tc>
          <w:tcPr>
            <w:tcW w:w="7894" w:type="dxa"/>
            <w:shd w:val="clear" w:color="000000" w:fill="FFFFFF" w:themeFill="background1"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PARACETAMOL/KABI SOL.INF 10MG/ML, BTx1 (VIALx50ML)</w:t>
            </w:r>
          </w:p>
        </w:tc>
      </w:tr>
      <w:tr w:rsidR="001D2E1D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289770102</w:t>
            </w:r>
          </w:p>
        </w:tc>
        <w:tc>
          <w:tcPr>
            <w:tcW w:w="7894" w:type="dxa"/>
            <w:shd w:val="clear" w:color="000000" w:fill="FFFFFF" w:themeFill="background1"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PARACETAMOL/KABI SOL.INF 10MG/ML, BTx10 (VIALSx50ML)</w:t>
            </w:r>
          </w:p>
        </w:tc>
      </w:tr>
      <w:tr w:rsidR="001D2E1D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289770104</w:t>
            </w:r>
          </w:p>
        </w:tc>
        <w:tc>
          <w:tcPr>
            <w:tcW w:w="7894" w:type="dxa"/>
            <w:shd w:val="clear" w:color="000000" w:fill="FFFFFF" w:themeFill="background1"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PARACETAMOL/KABI SOL.INF 10MG/ML, BTx20 (VIALSx50ML)</w:t>
            </w:r>
          </w:p>
        </w:tc>
      </w:tr>
      <w:tr w:rsidR="001D2E1D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289770105</w:t>
            </w:r>
          </w:p>
        </w:tc>
        <w:tc>
          <w:tcPr>
            <w:tcW w:w="7894" w:type="dxa"/>
            <w:shd w:val="clear" w:color="000000" w:fill="FFFFFF" w:themeFill="background1"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PARACETAMOL/KABI SOL.INF 10MG/ML, BTx1 (VIALx100ML)</w:t>
            </w:r>
          </w:p>
        </w:tc>
      </w:tr>
      <w:tr w:rsidR="001D2E1D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289770106</w:t>
            </w:r>
          </w:p>
        </w:tc>
        <w:tc>
          <w:tcPr>
            <w:tcW w:w="7894" w:type="dxa"/>
            <w:shd w:val="clear" w:color="000000" w:fill="FFFFFF" w:themeFill="background1"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PARACETAMOL/KABI SOL.INF 10MG/ML, BTx10 (VIALSx100ML)</w:t>
            </w:r>
          </w:p>
        </w:tc>
      </w:tr>
      <w:tr w:rsidR="001D2E1D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289770108</w:t>
            </w:r>
          </w:p>
        </w:tc>
        <w:tc>
          <w:tcPr>
            <w:tcW w:w="7894" w:type="dxa"/>
            <w:shd w:val="clear" w:color="000000" w:fill="FFFFFF" w:themeFill="background1"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PARACETAMOL/KABI SOL.INF 10MG/ML, BTx20 (VIALSx100ML)</w:t>
            </w:r>
          </w:p>
        </w:tc>
      </w:tr>
      <w:tr w:rsidR="001D2E1D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265910101</w:t>
            </w:r>
          </w:p>
        </w:tc>
        <w:tc>
          <w:tcPr>
            <w:tcW w:w="7894" w:type="dxa"/>
            <w:shd w:val="clear" w:color="000000" w:fill="FFFFFF" w:themeFill="background1"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PAROXETINE HYDROCHLORIDE/PHARMASSIST OR.SO.D 10MG/ML BOTTLE X 30 ML</w:t>
            </w:r>
          </w:p>
        </w:tc>
      </w:tr>
      <w:tr w:rsidR="001D2E1D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295130103</w:t>
            </w:r>
          </w:p>
        </w:tc>
        <w:tc>
          <w:tcPr>
            <w:tcW w:w="7894" w:type="dxa"/>
            <w:shd w:val="clear" w:color="000000" w:fill="FFFFFF" w:themeFill="background1"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VIATRINIL INJ.SO.INF 1MG/ML BTX1AMPX3ML</w:t>
            </w:r>
          </w:p>
        </w:tc>
      </w:tr>
      <w:tr w:rsidR="001D2E1D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295130104</w:t>
            </w:r>
          </w:p>
        </w:tc>
        <w:tc>
          <w:tcPr>
            <w:tcW w:w="7894" w:type="dxa"/>
            <w:shd w:val="clear" w:color="000000" w:fill="FFFFFF" w:themeFill="background1"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VIATRINIL INJ.SO.INF 1MG/ML BTX5AMPSX3ML</w:t>
            </w:r>
          </w:p>
        </w:tc>
      </w:tr>
      <w:tr w:rsidR="001D2E1D" w:rsidRPr="001D2E1D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262280102</w:t>
            </w:r>
          </w:p>
        </w:tc>
        <w:tc>
          <w:tcPr>
            <w:tcW w:w="7894" w:type="dxa"/>
            <w:shd w:val="clear" w:color="000000" w:fill="FFFFFF" w:themeFill="background1"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LABETASOL NASPR. SUS.M.D. 100MCG/DOSE BTX1 (AMBER GLASS BOTTLE X 10ML)+ΒΙΔΩΤΗ ΔΟΣΟΜΕΤΡΙΚΗ ΑΝΤΛΙΑ(X200 DOSES)</w:t>
            </w:r>
          </w:p>
        </w:tc>
      </w:tr>
      <w:tr w:rsidR="001D2E1D" w:rsidRPr="001D2E1D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175070104</w:t>
            </w:r>
          </w:p>
        </w:tc>
        <w:tc>
          <w:tcPr>
            <w:tcW w:w="7894" w:type="dxa"/>
            <w:shd w:val="clear" w:color="000000" w:fill="FFFFFF" w:themeFill="background1"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PYRAZINAMIDE/GENEPHARM TABS 500MG/TAB BTX120 (BLIST 8X15)(ΝΟΣΟΚΟΜΕΙΑΚΗ ΣΥΣΚΕΥΑΣΙΑ)</w:t>
            </w:r>
          </w:p>
        </w:tc>
      </w:tr>
      <w:tr w:rsidR="001D2E1D" w:rsidRPr="001D2E1D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175070105</w:t>
            </w:r>
          </w:p>
        </w:tc>
        <w:tc>
          <w:tcPr>
            <w:tcW w:w="7894" w:type="dxa"/>
            <w:shd w:val="clear" w:color="000000" w:fill="FFFFFF" w:themeFill="background1"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PYRAZINAMIDE/GENEPHARM TABS 500MG/TAB BTX180 (BLIST 12X15)(ΝΟΣΟΚΟΜΕΙΑΚΗ ΣΥΣΚΕΥΑΣΙΑ)</w:t>
            </w:r>
          </w:p>
        </w:tc>
      </w:tr>
      <w:tr w:rsidR="001D2E1D" w:rsidRPr="001D2E1D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175070106</w:t>
            </w:r>
          </w:p>
        </w:tc>
        <w:tc>
          <w:tcPr>
            <w:tcW w:w="7894" w:type="dxa"/>
            <w:shd w:val="clear" w:color="000000" w:fill="FFFFFF" w:themeFill="background1"/>
            <w:vAlign w:val="bottom"/>
            <w:hideMark/>
          </w:tcPr>
          <w:p w:rsidR="001D2E1D" w:rsidRPr="001D2E1D" w:rsidRDefault="001D2E1D" w:rsidP="001D2E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E1D">
              <w:rPr>
                <w:rFonts w:ascii="Calibri" w:hAnsi="Calibri"/>
                <w:color w:val="000000"/>
                <w:sz w:val="22"/>
                <w:szCs w:val="22"/>
              </w:rPr>
              <w:t>PYRAZINAMIDE/GENEPHARM TABS 500MG/TAB BTX240 (BLIST 16X15)(ΝΟΣΟΚΟΜΕΙΑΚΗ ΣΥΣΚΕΥΑΣΙΑ)</w:t>
            </w:r>
          </w:p>
        </w:tc>
      </w:tr>
      <w:tr w:rsidR="00D716F8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D716F8" w:rsidRPr="00D716F8" w:rsidRDefault="00D716F8" w:rsidP="00D71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16F8">
              <w:rPr>
                <w:rFonts w:ascii="Calibri" w:hAnsi="Calibri"/>
                <w:color w:val="000000"/>
                <w:sz w:val="22"/>
                <w:szCs w:val="22"/>
              </w:rPr>
              <w:t>260210103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D716F8" w:rsidRPr="00D716F8" w:rsidRDefault="00D716F8" w:rsidP="00D716F8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D716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PHOSPHATES/BOTANIA (20,8+7,8)G/130ML BTXBOTTLEX250ML (</w:t>
            </w:r>
            <w:r w:rsidRPr="00D716F8">
              <w:rPr>
                <w:rFonts w:ascii="Calibri" w:hAnsi="Calibri"/>
                <w:color w:val="000000"/>
                <w:sz w:val="22"/>
                <w:szCs w:val="22"/>
              </w:rPr>
              <w:t>πλαστικό</w:t>
            </w:r>
            <w:r w:rsidRPr="00D716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7C0D95" w:rsidRPr="007C0D95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279930102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ALGOCIT 10MG/ML SOL.INF BTX1 VIAL X 100 ML ΝΟΣΟΚΟΜΕΙΑΚΗ</w:t>
            </w:r>
          </w:p>
        </w:tc>
      </w:tr>
      <w:tr w:rsidR="007C0D95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289990101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CARNIGRAMM 1000MG/SACHET, BTX30 SACHETSX5G</w:t>
            </w:r>
          </w:p>
        </w:tc>
      </w:tr>
      <w:tr w:rsidR="007C0D95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291580101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SOLUMAG 2F GRA OR SOL 100MG/SACHET, BTX20SACHETS</w:t>
            </w:r>
          </w:p>
        </w:tc>
      </w:tr>
      <w:tr w:rsidR="007C0D95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291580201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SOLUMAG 2F GRA OR SOL 300MG/SACHET, BTX20 SACHETS</w:t>
            </w:r>
          </w:p>
        </w:tc>
      </w:tr>
    </w:tbl>
    <w:p w:rsidR="00E344A5" w:rsidRPr="007C0D95" w:rsidRDefault="00E344A5">
      <w:pPr>
        <w:pStyle w:val="30"/>
        <w:rPr>
          <w:lang w:val="en-US"/>
        </w:rPr>
      </w:pPr>
    </w:p>
    <w:p w:rsidR="000A3563" w:rsidRPr="007C0D95" w:rsidRDefault="000A3563">
      <w:pPr>
        <w:pStyle w:val="30"/>
        <w:rPr>
          <w:sz w:val="16"/>
          <w:szCs w:val="16"/>
          <w:lang w:val="en-US"/>
        </w:rPr>
      </w:pPr>
    </w:p>
    <w:p w:rsidR="007B534B" w:rsidRPr="00A40682" w:rsidRDefault="007B534B">
      <w:pPr>
        <w:pStyle w:val="30"/>
      </w:pPr>
      <w:r>
        <w:t>Ορισμένα προϊόντα και συγκεκριμένα αυτά που αναγράφονται παρακάτω τιμολογήθηκαν με αντιστοίχιση σε κοινόχρηστα προϊόντα, οπότε η τιμή ήταν ίδια με την τιμή του κοινόχρηστου με τις αντίστοιχες αναγωγές.</w:t>
      </w:r>
    </w:p>
    <w:p w:rsidR="003074E6" w:rsidRPr="00A40682" w:rsidRDefault="003074E6">
      <w:pPr>
        <w:pStyle w:val="30"/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ook w:val="04A0"/>
      </w:tblPr>
      <w:tblGrid>
        <w:gridCol w:w="1760"/>
        <w:gridCol w:w="7894"/>
      </w:tblGrid>
      <w:tr w:rsidR="004E61CB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center"/>
            <w:hideMark/>
          </w:tcPr>
          <w:p w:rsidR="004E61CB" w:rsidRPr="004E61CB" w:rsidRDefault="004E61CB" w:rsidP="004E61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61CB">
              <w:rPr>
                <w:rFonts w:ascii="Calibri" w:hAnsi="Calibri"/>
                <w:color w:val="000000"/>
                <w:sz w:val="22"/>
                <w:szCs w:val="22"/>
              </w:rPr>
              <w:t>255570202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center"/>
            <w:hideMark/>
          </w:tcPr>
          <w:p w:rsidR="004E61CB" w:rsidRPr="004E61CB" w:rsidRDefault="004E61CB" w:rsidP="004E61C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E61CB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GLUCOSE 10% / BAXTER (VIAFLO), BTx20 BAGS x 500 ML</w:t>
            </w:r>
          </w:p>
        </w:tc>
      </w:tr>
      <w:tr w:rsidR="004E61CB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center"/>
            <w:hideMark/>
          </w:tcPr>
          <w:p w:rsidR="004E61CB" w:rsidRPr="004E61CB" w:rsidRDefault="004E61CB" w:rsidP="004E61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61CB">
              <w:rPr>
                <w:rFonts w:ascii="Calibri" w:hAnsi="Calibri"/>
                <w:color w:val="000000"/>
                <w:sz w:val="22"/>
                <w:szCs w:val="22"/>
              </w:rPr>
              <w:t>255570203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center"/>
            <w:hideMark/>
          </w:tcPr>
          <w:p w:rsidR="004E61CB" w:rsidRPr="004E61CB" w:rsidRDefault="004E61CB" w:rsidP="004E61C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E61CB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GLUCOSE 10% / BAXTER (VIAFLO), BTx10 BAGS x 1000 ML</w:t>
            </w:r>
          </w:p>
        </w:tc>
      </w:tr>
      <w:tr w:rsidR="004E61CB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61CB">
              <w:rPr>
                <w:rFonts w:ascii="Calibri" w:hAnsi="Calibri"/>
                <w:color w:val="000000"/>
                <w:sz w:val="22"/>
                <w:szCs w:val="22"/>
              </w:rPr>
              <w:t>287840102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E61CB">
              <w:rPr>
                <w:rFonts w:ascii="Calibri" w:hAnsi="Calibri"/>
                <w:sz w:val="22"/>
                <w:szCs w:val="22"/>
                <w:lang w:val="en-US"/>
              </w:rPr>
              <w:t>SODIUM CHLORIDE 0.9% FRESENIUS INJ.SOL 0.9% W/V, BTx50 (AMP LDPEx5ML)</w:t>
            </w:r>
          </w:p>
        </w:tc>
      </w:tr>
      <w:tr w:rsidR="004E61CB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61CB">
              <w:rPr>
                <w:rFonts w:ascii="Calibri" w:hAnsi="Calibri"/>
                <w:color w:val="000000"/>
                <w:sz w:val="22"/>
                <w:szCs w:val="22"/>
              </w:rPr>
              <w:t>287840104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E61CB">
              <w:rPr>
                <w:rFonts w:ascii="Calibri" w:hAnsi="Calibri"/>
                <w:sz w:val="22"/>
                <w:szCs w:val="22"/>
                <w:lang w:val="en-US"/>
              </w:rPr>
              <w:t>SODIUM CHLORIDE 0.9% FRESENIUS INJ.SOL 0.9% W/V, BTx50 (AMP LDPEx10ML)</w:t>
            </w:r>
          </w:p>
        </w:tc>
      </w:tr>
      <w:tr w:rsidR="004E61CB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61CB">
              <w:rPr>
                <w:rFonts w:ascii="Calibri" w:hAnsi="Calibri"/>
                <w:color w:val="000000"/>
                <w:sz w:val="22"/>
                <w:szCs w:val="22"/>
              </w:rPr>
              <w:t>291670101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center"/>
            <w:hideMark/>
          </w:tcPr>
          <w:p w:rsidR="004E61CB" w:rsidRPr="004E61CB" w:rsidRDefault="004E61CB" w:rsidP="004E61C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E61CB">
              <w:rPr>
                <w:rFonts w:ascii="Calibri" w:hAnsi="Calibri"/>
                <w:sz w:val="22"/>
                <w:szCs w:val="22"/>
                <w:lang w:val="en-US"/>
              </w:rPr>
              <w:t>POTASSIUM CHLORIDE/FRESENIUS C/S.SOL.IN 150MG/ML, BTx20 (AMP LDPE x 5ML)</w:t>
            </w:r>
          </w:p>
        </w:tc>
      </w:tr>
      <w:tr w:rsidR="004E61CB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61CB">
              <w:rPr>
                <w:rFonts w:ascii="Calibri" w:hAnsi="Calibri"/>
                <w:color w:val="000000"/>
                <w:sz w:val="22"/>
                <w:szCs w:val="22"/>
              </w:rPr>
              <w:t>291670102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E61CB">
              <w:rPr>
                <w:rFonts w:ascii="Calibri" w:hAnsi="Calibri"/>
                <w:sz w:val="22"/>
                <w:szCs w:val="22"/>
                <w:lang w:val="en-US"/>
              </w:rPr>
              <w:t>POTASSIUM CHLORIDE/FRESENIUS C/S.SOL.IN 150MG/ML, BTx50 (AMP LDPE x 5ML)</w:t>
            </w:r>
          </w:p>
        </w:tc>
      </w:tr>
      <w:tr w:rsidR="004E61CB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61CB">
              <w:rPr>
                <w:rFonts w:ascii="Calibri" w:hAnsi="Calibri"/>
                <w:color w:val="000000"/>
                <w:sz w:val="22"/>
                <w:szCs w:val="22"/>
              </w:rPr>
              <w:t>291670103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E61CB">
              <w:rPr>
                <w:rFonts w:ascii="Calibri" w:hAnsi="Calibri"/>
                <w:sz w:val="22"/>
                <w:szCs w:val="22"/>
                <w:lang w:val="en-US"/>
              </w:rPr>
              <w:t>POTASSIUM CHLORIDE/FRESENIUS C/S.SOL.IN 150MG/ML, BTx20 (AMP LDPE x 10ML)</w:t>
            </w:r>
          </w:p>
        </w:tc>
      </w:tr>
      <w:tr w:rsidR="004E61CB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61CB">
              <w:rPr>
                <w:rFonts w:ascii="Calibri" w:hAnsi="Calibri"/>
                <w:color w:val="000000"/>
                <w:sz w:val="22"/>
                <w:szCs w:val="22"/>
              </w:rPr>
              <w:t>291670104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E61CB">
              <w:rPr>
                <w:rFonts w:ascii="Calibri" w:hAnsi="Calibri"/>
                <w:sz w:val="22"/>
                <w:szCs w:val="22"/>
                <w:lang w:val="en-US"/>
              </w:rPr>
              <w:t>POTASSIUM CHLORIDE/FRESENIUS C/S.SOL.IN 150MG/ML, BTx50 (AMP LDPE x 10ML)</w:t>
            </w:r>
          </w:p>
        </w:tc>
      </w:tr>
      <w:tr w:rsidR="004E61CB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61CB">
              <w:rPr>
                <w:rFonts w:ascii="Calibri" w:hAnsi="Calibri"/>
                <w:color w:val="000000"/>
                <w:sz w:val="22"/>
                <w:szCs w:val="22"/>
              </w:rPr>
              <w:t>291670105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E61CB">
              <w:rPr>
                <w:rFonts w:ascii="Calibri" w:hAnsi="Calibri"/>
                <w:sz w:val="22"/>
                <w:szCs w:val="22"/>
                <w:lang w:val="en-US"/>
              </w:rPr>
              <w:t>POTASSIUM CHLORIDE/FRESENIUS C/S.SOL.IN 150MG/ML, BTx20 (AMP LDPE x 20ML)</w:t>
            </w:r>
          </w:p>
        </w:tc>
      </w:tr>
      <w:tr w:rsidR="004E61CB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61CB">
              <w:rPr>
                <w:rFonts w:ascii="Calibri" w:hAnsi="Calibri"/>
                <w:color w:val="000000"/>
                <w:sz w:val="22"/>
                <w:szCs w:val="22"/>
              </w:rPr>
              <w:t>287840101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E61CB">
              <w:rPr>
                <w:rFonts w:ascii="Calibri" w:hAnsi="Calibri"/>
                <w:sz w:val="22"/>
                <w:szCs w:val="22"/>
                <w:lang w:val="en-US"/>
              </w:rPr>
              <w:t>SODIUM CHLORIDE 0.9% FRESENIUS INJ.SOL 0.9% W/V, BTx20 (AMP LDPEx5ML)</w:t>
            </w:r>
          </w:p>
        </w:tc>
      </w:tr>
      <w:tr w:rsidR="004E61CB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61CB">
              <w:rPr>
                <w:rFonts w:ascii="Calibri" w:hAnsi="Calibri"/>
                <w:color w:val="000000"/>
                <w:sz w:val="22"/>
                <w:szCs w:val="22"/>
              </w:rPr>
              <w:t>287840103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E61CB">
              <w:rPr>
                <w:rFonts w:ascii="Calibri" w:hAnsi="Calibri"/>
                <w:sz w:val="22"/>
                <w:szCs w:val="22"/>
                <w:lang w:val="en-US"/>
              </w:rPr>
              <w:t>SODIUM CHLORIDE 0.9% FRESENIUS INJ.SOL 0.9% W/V, BTx20 (AMP LDPEx10ML)</w:t>
            </w:r>
          </w:p>
        </w:tc>
      </w:tr>
      <w:tr w:rsidR="004E61CB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61CB">
              <w:rPr>
                <w:rFonts w:ascii="Calibri" w:hAnsi="Calibri"/>
                <w:color w:val="000000"/>
                <w:sz w:val="22"/>
                <w:szCs w:val="22"/>
              </w:rPr>
              <w:t>287840105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4E61CB" w:rsidRPr="004E61CB" w:rsidRDefault="004E61CB" w:rsidP="004E61C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4E61CB">
              <w:rPr>
                <w:rFonts w:ascii="Calibri" w:hAnsi="Calibri"/>
                <w:sz w:val="22"/>
                <w:szCs w:val="22"/>
                <w:lang w:val="en-US"/>
              </w:rPr>
              <w:t>SODIUM CHLORIDE 0.9% FRESENIUS INJ.SOL 0.9% W/V, BTx20 (AMP LDPEx20ML)</w:t>
            </w:r>
          </w:p>
        </w:tc>
      </w:tr>
      <w:tr w:rsidR="007C0D95" w:rsidRPr="007C0D95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234470101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HYDROGEN PEROXIDE/ECOFARM CUT.SOL 3% FLX200ML (Πλαστικά Φιαλίδια)</w:t>
            </w:r>
          </w:p>
        </w:tc>
      </w:tr>
      <w:tr w:rsidR="007C0D95" w:rsidRPr="007C0D95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234470102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HYDROGEN PEROXIDE/ECOFARM CUT.SOL 3% FLX500ML (Πλαστικά Φιαλίδια)</w:t>
            </w:r>
          </w:p>
        </w:tc>
      </w:tr>
      <w:tr w:rsidR="007C0D95" w:rsidRPr="007C0D95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234490101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MERBROMIN (ΜΕΡΚΟΥΡΟΧΡΩΜ)/ECOFARM CUT.SOL 2% FLX30ML (Γυάλινα φιαλίδια)</w:t>
            </w:r>
          </w:p>
        </w:tc>
      </w:tr>
      <w:tr w:rsidR="007C0D95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234480101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IODINE SOLUTION/ECOFARM CUT.SOL 7% FLX50ML (</w:t>
            </w: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Γυάλινα</w:t>
            </w:r>
            <w:r w:rsidRPr="007C0D95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Φιαλίδια</w:t>
            </w:r>
            <w:r w:rsidRPr="007C0D95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7C0D95" w:rsidRPr="007C0D95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189790615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 xml:space="preserve">ΔΕΞΤΡΟΖΗ ΕΝΕΣIMO ΔΙΑΛYMA/DEMO 10% BT X 1 BOTTLE (PP) X 1000ML </w:t>
            </w:r>
          </w:p>
        </w:tc>
      </w:tr>
      <w:tr w:rsidR="007C0D95" w:rsidRPr="007C0D95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189790612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ΔΕΞΤΡΟΖΗ ΕΝΕΣΙΜΟ ΔΙΑΛΥΜΑ/DEMO 10% BT Χ 1 BOTTLE (PP) X 100ML</w:t>
            </w:r>
          </w:p>
        </w:tc>
      </w:tr>
      <w:tr w:rsidR="007C0D95" w:rsidRPr="007C0D95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189790613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ΔΕΞΤΡΟΖΗ ΕΝΕΣIMO ΔΙΑΛYMA/DEMO 10% BT X 1 BOTTLE (PP) X 250ML</w:t>
            </w:r>
          </w:p>
        </w:tc>
      </w:tr>
      <w:tr w:rsidR="007C0D95" w:rsidRPr="007C0D95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189790614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ΔΕΞΤΡΟΖΗ ΕΝΕΣIΜΟ ΔΙΑΛΥΜΑ/DEMO 10% ΒΤ Χ 1 BOTTLE (PP) X 500ML</w:t>
            </w:r>
          </w:p>
        </w:tc>
      </w:tr>
      <w:tr w:rsidR="007C0D95" w:rsidRPr="007C0D95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189790615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 xml:space="preserve">ΔΕΞΤΡΟΖΗ ΕΝΕΣIMO ΔΙΑΛYMA/DEMO 10% BT X 1 BOTTLE (PP) X 1000ML </w:t>
            </w:r>
          </w:p>
        </w:tc>
      </w:tr>
      <w:tr w:rsidR="007C0D95" w:rsidRPr="007C0D95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189790612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ΔΕΞΤΡΟΖΗ ΕΝΕΣΙΜΟ ΔΙΑΛΥΜΑ/DEMO 10% BT Χ 1 BOTTLE (PP) X 100ML</w:t>
            </w:r>
          </w:p>
        </w:tc>
      </w:tr>
      <w:tr w:rsidR="007C0D95" w:rsidRPr="007C0D95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189790613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ΔΕΞΤΡΟΖΗ ΕΝΕΣIMO ΔΙΑΛYMA/DEMO 10% BT X 1 BOTTLE (PP) X 250ML</w:t>
            </w:r>
          </w:p>
        </w:tc>
      </w:tr>
      <w:tr w:rsidR="007C0D95" w:rsidRPr="007C0D95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189790614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7C0D95" w:rsidRPr="007C0D95" w:rsidRDefault="007C0D95" w:rsidP="007C0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C0D95">
              <w:rPr>
                <w:rFonts w:ascii="Calibri" w:hAnsi="Calibri"/>
                <w:color w:val="000000"/>
                <w:sz w:val="22"/>
                <w:szCs w:val="22"/>
              </w:rPr>
              <w:t>ΔΕΞΤΡΟΖΗ ΕΝΕΣIΜΟ ΔΙΑΛΥΜΑ/DEMO 10% ΒΤ Χ 1 BOTTLE (PP) X 500ML</w:t>
            </w:r>
          </w:p>
        </w:tc>
      </w:tr>
    </w:tbl>
    <w:p w:rsidR="007B534B" w:rsidRPr="007C0D95" w:rsidRDefault="007B534B">
      <w:pPr>
        <w:pStyle w:val="30"/>
      </w:pPr>
    </w:p>
    <w:p w:rsidR="00926FEA" w:rsidRDefault="00926FEA">
      <w:pPr>
        <w:pStyle w:val="30"/>
      </w:pPr>
      <w:r>
        <w:t>Κάποια προϊόντα και συγκεκριμένα τα ακόλουθα τιμολογήθηκαν βάσει των τριών χαμηλ</w:t>
      </w:r>
      <w:r w:rsidR="00306D0D">
        <w:t>ό</w:t>
      </w:r>
      <w:r>
        <w:t>τ</w:t>
      </w:r>
      <w:r w:rsidR="00306D0D">
        <w:t>ε</w:t>
      </w:r>
      <w:r>
        <w:t>ρων τιμών της Ε.Ε.</w:t>
      </w:r>
      <w:r w:rsidR="00213001">
        <w:t xml:space="preserve">, </w:t>
      </w:r>
      <w:r>
        <w:t xml:space="preserve">επειδή δεν υπήρχε αντιστοίχιση σε προϊόν αναφοράς </w:t>
      </w:r>
      <w:r w:rsidR="00C713F2">
        <w:t xml:space="preserve">ή σε αντίγραφο </w:t>
      </w:r>
      <w:r>
        <w:t>στην Ελλάδα.</w:t>
      </w:r>
      <w:r w:rsidR="009F1935">
        <w:t xml:space="preserve"> </w:t>
      </w:r>
    </w:p>
    <w:p w:rsidR="00881FD1" w:rsidRDefault="00881FD1">
      <w:pPr>
        <w:pStyle w:val="30"/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ook w:val="04A0"/>
      </w:tblPr>
      <w:tblGrid>
        <w:gridCol w:w="1760"/>
        <w:gridCol w:w="7894"/>
      </w:tblGrid>
      <w:tr w:rsidR="00320E15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20E15">
              <w:rPr>
                <w:rFonts w:ascii="Calibri" w:hAnsi="Calibri"/>
                <w:color w:val="000000"/>
                <w:sz w:val="22"/>
                <w:szCs w:val="22"/>
              </w:rPr>
              <w:t>288370102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20E15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SYNELIX TAB 6MG/TAB BT X 3 BLISTERS X 10 TABS </w:t>
            </w:r>
          </w:p>
        </w:tc>
      </w:tr>
      <w:tr w:rsidR="00D716F8" w:rsidRPr="00D716F8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D716F8" w:rsidRPr="00D716F8" w:rsidRDefault="00D716F8" w:rsidP="00D71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16F8">
              <w:rPr>
                <w:rFonts w:ascii="Calibri" w:hAnsi="Calibri"/>
                <w:color w:val="000000"/>
                <w:sz w:val="22"/>
                <w:szCs w:val="22"/>
              </w:rPr>
              <w:t>290220101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D716F8" w:rsidRPr="00D716F8" w:rsidRDefault="00D716F8" w:rsidP="00D71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16F8">
              <w:rPr>
                <w:rFonts w:ascii="Calibri" w:hAnsi="Calibri"/>
                <w:color w:val="000000"/>
                <w:sz w:val="22"/>
                <w:szCs w:val="22"/>
              </w:rPr>
              <w:t>OXATREX EY.DR.S.SD 1,5MG/0,5ML (0,3% W/V ή 3mg/1ML) BT X 10 (FL X 0,5 ML)</w:t>
            </w:r>
          </w:p>
        </w:tc>
      </w:tr>
      <w:tr w:rsidR="00D716F8" w:rsidRPr="00D716F8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D716F8" w:rsidRPr="00D716F8" w:rsidRDefault="00D716F8" w:rsidP="00D71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16F8">
              <w:rPr>
                <w:rFonts w:ascii="Calibri" w:hAnsi="Calibri"/>
                <w:color w:val="000000"/>
                <w:sz w:val="22"/>
                <w:szCs w:val="22"/>
              </w:rPr>
              <w:t>290220102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D716F8" w:rsidRPr="00D716F8" w:rsidRDefault="00D716F8" w:rsidP="00D71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16F8">
              <w:rPr>
                <w:rFonts w:ascii="Calibri" w:hAnsi="Calibri"/>
                <w:color w:val="000000"/>
                <w:sz w:val="22"/>
                <w:szCs w:val="22"/>
              </w:rPr>
              <w:t>OXATREX EY.DR.S.SD 1,5MG/0,5ML (0,3% W/V ή 3mg/1ML) BT X 20 (FL X 0,5 ML)</w:t>
            </w:r>
          </w:p>
        </w:tc>
      </w:tr>
    </w:tbl>
    <w:p w:rsidR="00A46F4E" w:rsidRPr="00D716F8" w:rsidRDefault="00A46F4E">
      <w:pPr>
        <w:pStyle w:val="30"/>
      </w:pPr>
    </w:p>
    <w:p w:rsidR="003074E6" w:rsidRPr="00A40682" w:rsidRDefault="003074E6">
      <w:pPr>
        <w:jc w:val="both"/>
        <w:rPr>
          <w:rFonts w:ascii="Calibri" w:hAnsi="Calibri"/>
          <w:sz w:val="24"/>
        </w:rPr>
      </w:pPr>
    </w:p>
    <w:p w:rsidR="003074E6" w:rsidRPr="00A40682" w:rsidRDefault="003074E6">
      <w:pPr>
        <w:jc w:val="both"/>
        <w:rPr>
          <w:rFonts w:ascii="Calibri" w:hAnsi="Calibri"/>
          <w:sz w:val="24"/>
        </w:rPr>
      </w:pPr>
    </w:p>
    <w:p w:rsidR="003074E6" w:rsidRPr="00A40682" w:rsidRDefault="003074E6">
      <w:pPr>
        <w:jc w:val="both"/>
        <w:rPr>
          <w:rFonts w:ascii="Calibri" w:hAnsi="Calibri"/>
          <w:sz w:val="24"/>
        </w:rPr>
      </w:pPr>
    </w:p>
    <w:p w:rsidR="003074E6" w:rsidRPr="00A40682" w:rsidRDefault="003074E6">
      <w:pPr>
        <w:jc w:val="both"/>
        <w:rPr>
          <w:rFonts w:ascii="Calibri" w:hAnsi="Calibri"/>
          <w:sz w:val="24"/>
        </w:rPr>
      </w:pPr>
    </w:p>
    <w:p w:rsidR="003074E6" w:rsidRPr="00A40682" w:rsidRDefault="003074E6">
      <w:pPr>
        <w:jc w:val="both"/>
        <w:rPr>
          <w:rFonts w:ascii="Calibri" w:hAnsi="Calibri"/>
          <w:sz w:val="24"/>
        </w:rPr>
      </w:pPr>
    </w:p>
    <w:p w:rsidR="0061299D" w:rsidRPr="00607CD4" w:rsidRDefault="009F1935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Τα ακόλουθα προϊόντα τιμολογήθηκαν με κοστολόγιο.</w:t>
      </w:r>
    </w:p>
    <w:p w:rsidR="00607CD4" w:rsidRPr="00607CD4" w:rsidRDefault="00607CD4">
      <w:pPr>
        <w:jc w:val="both"/>
        <w:rPr>
          <w:rFonts w:ascii="Calibri" w:hAnsi="Calibri"/>
          <w:sz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ook w:val="04A0"/>
      </w:tblPr>
      <w:tblGrid>
        <w:gridCol w:w="1760"/>
        <w:gridCol w:w="7894"/>
      </w:tblGrid>
      <w:tr w:rsidR="00320E15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</w:rPr>
            </w:pPr>
            <w:r w:rsidRPr="00320E15">
              <w:rPr>
                <w:rFonts w:ascii="Calibri" w:hAnsi="Calibri"/>
                <w:sz w:val="22"/>
                <w:szCs w:val="22"/>
              </w:rPr>
              <w:t>207670101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320E15">
              <w:rPr>
                <w:rFonts w:ascii="Calibri" w:hAnsi="Calibri"/>
                <w:sz w:val="22"/>
                <w:szCs w:val="22"/>
                <w:lang w:val="en-US"/>
              </w:rPr>
              <w:t xml:space="preserve">ALGOFREN EF. GRAN. 200MG/SACHET BTX20 SACHETS </w:t>
            </w:r>
          </w:p>
        </w:tc>
      </w:tr>
      <w:tr w:rsidR="00320E15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</w:rPr>
            </w:pPr>
            <w:r w:rsidRPr="00320E15">
              <w:rPr>
                <w:rFonts w:ascii="Calibri" w:hAnsi="Calibri"/>
                <w:sz w:val="22"/>
                <w:szCs w:val="22"/>
              </w:rPr>
              <w:t>207670201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320E15">
              <w:rPr>
                <w:rFonts w:ascii="Calibri" w:hAnsi="Calibri"/>
                <w:sz w:val="22"/>
                <w:szCs w:val="22"/>
                <w:lang w:val="en-US"/>
              </w:rPr>
              <w:t>ALGOFREN EF. GRAN. 400MG/SACHET BTX20 SACHETS</w:t>
            </w:r>
          </w:p>
        </w:tc>
      </w:tr>
      <w:tr w:rsidR="00320E15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</w:rPr>
            </w:pPr>
            <w:r w:rsidRPr="00320E15">
              <w:rPr>
                <w:rFonts w:ascii="Calibri" w:hAnsi="Calibri"/>
                <w:sz w:val="22"/>
                <w:szCs w:val="22"/>
              </w:rPr>
              <w:t>207670301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320E15">
              <w:rPr>
                <w:rFonts w:ascii="Calibri" w:hAnsi="Calibri"/>
                <w:sz w:val="22"/>
                <w:szCs w:val="22"/>
                <w:lang w:val="en-US"/>
              </w:rPr>
              <w:t>ALGOFREN EF. GRAN. 600MG/SACHET BTX20 SACHETS</w:t>
            </w:r>
          </w:p>
        </w:tc>
      </w:tr>
      <w:tr w:rsidR="00320E15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</w:rPr>
            </w:pPr>
            <w:r w:rsidRPr="00320E15">
              <w:rPr>
                <w:rFonts w:ascii="Calibri" w:hAnsi="Calibri"/>
                <w:sz w:val="22"/>
                <w:szCs w:val="22"/>
              </w:rPr>
              <w:t>207670302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320E15">
              <w:rPr>
                <w:rFonts w:ascii="Calibri" w:hAnsi="Calibri"/>
                <w:sz w:val="22"/>
                <w:szCs w:val="22"/>
                <w:lang w:val="en-US"/>
              </w:rPr>
              <w:t>ALGOFREN EF. GRAN. 600MG/SACHET BTX10 SACHETS</w:t>
            </w:r>
          </w:p>
        </w:tc>
      </w:tr>
      <w:tr w:rsidR="00320E15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</w:rPr>
            </w:pPr>
            <w:r w:rsidRPr="00320E15">
              <w:rPr>
                <w:rFonts w:ascii="Calibri" w:hAnsi="Calibri"/>
                <w:sz w:val="22"/>
                <w:szCs w:val="22"/>
              </w:rPr>
              <w:t>207670401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320E15">
              <w:rPr>
                <w:rFonts w:ascii="Calibri" w:hAnsi="Calibri"/>
                <w:sz w:val="22"/>
                <w:szCs w:val="22"/>
                <w:lang w:val="en-US"/>
              </w:rPr>
              <w:t>ALGOFREN EF. GRAN. 200MG/SACHET BTX20 (FOIST 2X10)</w:t>
            </w:r>
          </w:p>
        </w:tc>
      </w:tr>
      <w:tr w:rsidR="00320E15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</w:rPr>
            </w:pPr>
            <w:r w:rsidRPr="00320E15">
              <w:rPr>
                <w:rFonts w:ascii="Calibri" w:hAnsi="Calibri"/>
                <w:sz w:val="22"/>
                <w:szCs w:val="22"/>
              </w:rPr>
              <w:t>272390101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320E15">
              <w:rPr>
                <w:rFonts w:ascii="Calibri" w:hAnsi="Calibri"/>
                <w:sz w:val="22"/>
                <w:szCs w:val="22"/>
                <w:lang w:val="en-US"/>
              </w:rPr>
              <w:t>MAGNESIL F.C.TAB 811,28 (60,77MG)MG/TAB BTX30 (BLIST 3X10)</w:t>
            </w:r>
          </w:p>
        </w:tc>
      </w:tr>
      <w:tr w:rsidR="00320E15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</w:rPr>
            </w:pPr>
            <w:r w:rsidRPr="00320E15">
              <w:rPr>
                <w:rFonts w:ascii="Calibri" w:hAnsi="Calibri"/>
                <w:sz w:val="22"/>
                <w:szCs w:val="22"/>
              </w:rPr>
              <w:t>291600102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320E15">
              <w:rPr>
                <w:rFonts w:ascii="Calibri" w:hAnsi="Calibri"/>
                <w:sz w:val="22"/>
                <w:szCs w:val="22"/>
                <w:lang w:val="en-US"/>
              </w:rPr>
              <w:t>EXERET EF. TAB (1080+2000)MG/TAB BTX12 (STRIPS 3 X 4)</w:t>
            </w:r>
          </w:p>
        </w:tc>
      </w:tr>
      <w:tr w:rsidR="00320E15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</w:rPr>
            </w:pPr>
            <w:r w:rsidRPr="00320E15">
              <w:rPr>
                <w:rFonts w:ascii="Calibri" w:hAnsi="Calibri"/>
                <w:sz w:val="22"/>
                <w:szCs w:val="22"/>
              </w:rPr>
              <w:t>291610101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320E15" w:rsidRPr="00320E15" w:rsidRDefault="00320E15" w:rsidP="00320E1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320E15">
              <w:rPr>
                <w:rFonts w:ascii="Calibri" w:hAnsi="Calibri"/>
                <w:sz w:val="22"/>
                <w:szCs w:val="22"/>
                <w:lang w:val="en-US"/>
              </w:rPr>
              <w:t>RAPIDEX GRA.OR.SOL (2.200+1.430)/G/SACH BTX10 SACHETS</w:t>
            </w:r>
          </w:p>
        </w:tc>
      </w:tr>
      <w:tr w:rsidR="00D716F8" w:rsidRPr="00A12AE0" w:rsidTr="003074E6">
        <w:trPr>
          <w:trHeight w:val="300"/>
        </w:trPr>
        <w:tc>
          <w:tcPr>
            <w:tcW w:w="1760" w:type="dxa"/>
            <w:shd w:val="clear" w:color="000000" w:fill="FFFFFF" w:themeFill="background1"/>
            <w:noWrap/>
            <w:vAlign w:val="bottom"/>
            <w:hideMark/>
          </w:tcPr>
          <w:p w:rsidR="00D716F8" w:rsidRPr="00D716F8" w:rsidRDefault="00D716F8" w:rsidP="00D716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16F8">
              <w:rPr>
                <w:rFonts w:ascii="Calibri" w:hAnsi="Calibri"/>
                <w:color w:val="000000"/>
                <w:sz w:val="22"/>
                <w:szCs w:val="22"/>
              </w:rPr>
              <w:t>269680101</w:t>
            </w:r>
          </w:p>
        </w:tc>
        <w:tc>
          <w:tcPr>
            <w:tcW w:w="7894" w:type="dxa"/>
            <w:shd w:val="clear" w:color="000000" w:fill="FFFFFF" w:themeFill="background1"/>
            <w:noWrap/>
            <w:vAlign w:val="bottom"/>
            <w:hideMark/>
          </w:tcPr>
          <w:p w:rsidR="00D716F8" w:rsidRPr="00D716F8" w:rsidRDefault="00D716F8" w:rsidP="00D716F8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D716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OMALIN ORAL.SOL. 800MG (equal to Fe 40mg)/15ML VIAL BT X 10 VIALS X 15 ML</w:t>
            </w:r>
          </w:p>
        </w:tc>
      </w:tr>
    </w:tbl>
    <w:p w:rsidR="00F40CA9" w:rsidRPr="00320E15" w:rsidRDefault="00F40CA9">
      <w:pPr>
        <w:jc w:val="both"/>
        <w:rPr>
          <w:rFonts w:ascii="Calibri" w:hAnsi="Calibri"/>
          <w:sz w:val="24"/>
          <w:lang w:val="en-US"/>
        </w:rPr>
      </w:pPr>
    </w:p>
    <w:p w:rsidR="009F1935" w:rsidRPr="00F40CA9" w:rsidRDefault="009F1935">
      <w:pPr>
        <w:jc w:val="both"/>
        <w:rPr>
          <w:rFonts w:ascii="Calibri" w:hAnsi="Calibri"/>
          <w:sz w:val="24"/>
          <w:lang w:val="en-US"/>
        </w:rPr>
      </w:pPr>
    </w:p>
    <w:p w:rsidR="00931001" w:rsidRPr="00A40682" w:rsidRDefault="00931001" w:rsidP="00931001">
      <w:pPr>
        <w:jc w:val="both"/>
        <w:rPr>
          <w:rFonts w:ascii="Calibri" w:hAnsi="Calibri" w:cs="Tahoma"/>
          <w:b/>
          <w:sz w:val="24"/>
          <w:szCs w:val="24"/>
          <w:lang w:val="en-US"/>
        </w:rPr>
      </w:pPr>
    </w:p>
    <w:p w:rsidR="00931001" w:rsidRPr="00A40682" w:rsidRDefault="00931001">
      <w:pPr>
        <w:jc w:val="both"/>
        <w:rPr>
          <w:rFonts w:asciiTheme="minorHAnsi" w:hAnsiTheme="minorHAnsi" w:cs="Tahoma"/>
          <w:sz w:val="24"/>
          <w:szCs w:val="24"/>
          <w:u w:val="single"/>
          <w:lang w:val="en-US"/>
        </w:rPr>
      </w:pPr>
    </w:p>
    <w:p w:rsidR="00B43966" w:rsidRDefault="00B43966" w:rsidP="00B43966">
      <w:pPr>
        <w:jc w:val="both"/>
        <w:rPr>
          <w:rFonts w:ascii="Calibri" w:hAnsi="Calibri" w:cs="Tahoma"/>
          <w:sz w:val="24"/>
          <w:szCs w:val="24"/>
          <w:u w:val="single"/>
        </w:rPr>
      </w:pPr>
      <w:r>
        <w:rPr>
          <w:rFonts w:ascii="Calibri" w:hAnsi="Calibri"/>
          <w:sz w:val="24"/>
        </w:rPr>
        <w:t xml:space="preserve">Συνημμένα σας υποβάλουμε τον κατάλογο με τις προτεινόμενες τιμές φαρμακευτικών προϊόντων. </w:t>
      </w:r>
    </w:p>
    <w:p w:rsidR="00B43966" w:rsidRDefault="00B43966">
      <w:pPr>
        <w:pStyle w:val="5"/>
        <w:ind w:left="5040" w:firstLine="720"/>
        <w:rPr>
          <w:rFonts w:ascii="Calibri" w:hAnsi="Calibri" w:cs="Tahoma"/>
          <w:sz w:val="24"/>
          <w:szCs w:val="24"/>
        </w:rPr>
      </w:pPr>
    </w:p>
    <w:p w:rsidR="00B43966" w:rsidRDefault="00B43966">
      <w:pPr>
        <w:pStyle w:val="5"/>
        <w:ind w:left="5040" w:firstLine="720"/>
        <w:rPr>
          <w:rFonts w:ascii="Calibri" w:hAnsi="Calibri" w:cs="Tahoma"/>
          <w:sz w:val="24"/>
          <w:szCs w:val="24"/>
        </w:rPr>
      </w:pPr>
    </w:p>
    <w:p w:rsidR="0061299D" w:rsidRDefault="002738B6">
      <w:pPr>
        <w:pStyle w:val="5"/>
        <w:ind w:left="5040" w:firstLine="72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Ο ΠΡΟΕΔΡΟΣ ΔΣ/ΕΟΦ</w:t>
      </w:r>
    </w:p>
    <w:p w:rsidR="0061299D" w:rsidRDefault="0061299D"/>
    <w:p w:rsidR="0061299D" w:rsidRDefault="002738B6">
      <w:pPr>
        <w:pStyle w:val="a5"/>
        <w:rPr>
          <w:rFonts w:ascii="Calibri" w:hAnsi="Calibri"/>
          <w:b/>
          <w:bCs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/>
          <w:b/>
          <w:bCs/>
          <w:sz w:val="24"/>
        </w:rPr>
        <w:t xml:space="preserve">Καθηγητής Ι. </w:t>
      </w:r>
      <w:proofErr w:type="spellStart"/>
      <w:r>
        <w:rPr>
          <w:rFonts w:ascii="Calibri" w:hAnsi="Calibri"/>
          <w:b/>
          <w:bCs/>
          <w:sz w:val="24"/>
        </w:rPr>
        <w:t>Τούντας</w:t>
      </w:r>
      <w:proofErr w:type="spellEnd"/>
    </w:p>
    <w:sectPr w:rsidR="0061299D" w:rsidSect="0061299D">
      <w:footerReference w:type="even" r:id="rId10"/>
      <w:footerReference w:type="default" r:id="rId11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3DE" w:rsidRDefault="000F43DE">
      <w:r>
        <w:separator/>
      </w:r>
    </w:p>
  </w:endnote>
  <w:endnote w:type="continuationSeparator" w:id="0">
    <w:p w:rsidR="000F43DE" w:rsidRDefault="000F4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99D" w:rsidRDefault="00D310C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38B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738B6">
      <w:rPr>
        <w:rStyle w:val="a8"/>
        <w:noProof/>
      </w:rPr>
      <w:t>1</w:t>
    </w:r>
    <w:r>
      <w:rPr>
        <w:rStyle w:val="a8"/>
      </w:rPr>
      <w:fldChar w:fldCharType="end"/>
    </w:r>
  </w:p>
  <w:p w:rsidR="0061299D" w:rsidRDefault="0061299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2110"/>
      <w:docPartObj>
        <w:docPartGallery w:val="Page Numbers (Bottom of Page)"/>
        <w:docPartUnique/>
      </w:docPartObj>
    </w:sdtPr>
    <w:sdtContent>
      <w:p w:rsidR="00A46F4E" w:rsidRDefault="00D310CC">
        <w:pPr>
          <w:pStyle w:val="a7"/>
          <w:jc w:val="center"/>
        </w:pPr>
        <w:fldSimple w:instr=" PAGE   \* MERGEFORMAT ">
          <w:r w:rsidR="00A12AE0">
            <w:rPr>
              <w:noProof/>
            </w:rPr>
            <w:t>3</w:t>
          </w:r>
        </w:fldSimple>
      </w:p>
    </w:sdtContent>
  </w:sdt>
  <w:p w:rsidR="0061299D" w:rsidRDefault="0061299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3DE" w:rsidRDefault="000F43DE">
      <w:r>
        <w:separator/>
      </w:r>
    </w:p>
  </w:footnote>
  <w:footnote w:type="continuationSeparator" w:id="0">
    <w:p w:rsidR="000F43DE" w:rsidRDefault="000F43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79F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8509B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A71F55"/>
    <w:multiLevelType w:val="singleLevel"/>
    <w:tmpl w:val="3DC070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1A6102A"/>
    <w:multiLevelType w:val="hybridMultilevel"/>
    <w:tmpl w:val="B92C85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03CFD"/>
    <w:multiLevelType w:val="singleLevel"/>
    <w:tmpl w:val="D0C6EF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>
    <w:nsid w:val="269426F0"/>
    <w:multiLevelType w:val="singleLevel"/>
    <w:tmpl w:val="95AA335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>
    <w:nsid w:val="343763F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79F027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F4D0286"/>
    <w:multiLevelType w:val="hybridMultilevel"/>
    <w:tmpl w:val="98E062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B64AD"/>
    <w:multiLevelType w:val="hybridMultilevel"/>
    <w:tmpl w:val="070A83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E45A0"/>
    <w:multiLevelType w:val="hybridMultilevel"/>
    <w:tmpl w:val="B9B00D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C39"/>
    <w:rsid w:val="00066329"/>
    <w:rsid w:val="000A0EC1"/>
    <w:rsid w:val="000A3563"/>
    <w:rsid w:val="000E0749"/>
    <w:rsid w:val="000F43DE"/>
    <w:rsid w:val="001065D8"/>
    <w:rsid w:val="00112EC0"/>
    <w:rsid w:val="00127E86"/>
    <w:rsid w:val="00131A19"/>
    <w:rsid w:val="001431AA"/>
    <w:rsid w:val="001869BE"/>
    <w:rsid w:val="001D2009"/>
    <w:rsid w:val="001D2E1D"/>
    <w:rsid w:val="00213001"/>
    <w:rsid w:val="002363F2"/>
    <w:rsid w:val="00253C88"/>
    <w:rsid w:val="002738B6"/>
    <w:rsid w:val="002C101B"/>
    <w:rsid w:val="002F77A4"/>
    <w:rsid w:val="00306D0D"/>
    <w:rsid w:val="003074E6"/>
    <w:rsid w:val="00312A9E"/>
    <w:rsid w:val="00320E15"/>
    <w:rsid w:val="00374523"/>
    <w:rsid w:val="00395CBE"/>
    <w:rsid w:val="003A276E"/>
    <w:rsid w:val="003B5562"/>
    <w:rsid w:val="00401786"/>
    <w:rsid w:val="0042404E"/>
    <w:rsid w:val="004D5A2E"/>
    <w:rsid w:val="004E61CB"/>
    <w:rsid w:val="00547381"/>
    <w:rsid w:val="00576CED"/>
    <w:rsid w:val="005A219C"/>
    <w:rsid w:val="005B035B"/>
    <w:rsid w:val="005B5D48"/>
    <w:rsid w:val="005D2CA3"/>
    <w:rsid w:val="00607CD4"/>
    <w:rsid w:val="00611EE9"/>
    <w:rsid w:val="0061299D"/>
    <w:rsid w:val="00660476"/>
    <w:rsid w:val="00680F8A"/>
    <w:rsid w:val="006A25ED"/>
    <w:rsid w:val="00741201"/>
    <w:rsid w:val="007727C3"/>
    <w:rsid w:val="007846C6"/>
    <w:rsid w:val="00796205"/>
    <w:rsid w:val="00797FCE"/>
    <w:rsid w:val="007B534B"/>
    <w:rsid w:val="007C0D95"/>
    <w:rsid w:val="00881FD1"/>
    <w:rsid w:val="008863D1"/>
    <w:rsid w:val="00905E96"/>
    <w:rsid w:val="0091748F"/>
    <w:rsid w:val="00926FEA"/>
    <w:rsid w:val="00931001"/>
    <w:rsid w:val="009520EC"/>
    <w:rsid w:val="009C6170"/>
    <w:rsid w:val="009F1935"/>
    <w:rsid w:val="009F7125"/>
    <w:rsid w:val="00A12AE0"/>
    <w:rsid w:val="00A254E5"/>
    <w:rsid w:val="00A40682"/>
    <w:rsid w:val="00A423AA"/>
    <w:rsid w:val="00A46F4E"/>
    <w:rsid w:val="00A84A2E"/>
    <w:rsid w:val="00AB1518"/>
    <w:rsid w:val="00B04041"/>
    <w:rsid w:val="00B10673"/>
    <w:rsid w:val="00B43966"/>
    <w:rsid w:val="00BD0304"/>
    <w:rsid w:val="00C6123B"/>
    <w:rsid w:val="00C713F2"/>
    <w:rsid w:val="00CA02E0"/>
    <w:rsid w:val="00CB1F8C"/>
    <w:rsid w:val="00D310CC"/>
    <w:rsid w:val="00D51233"/>
    <w:rsid w:val="00D5422C"/>
    <w:rsid w:val="00D616E6"/>
    <w:rsid w:val="00D716F8"/>
    <w:rsid w:val="00DA1D1D"/>
    <w:rsid w:val="00DB2239"/>
    <w:rsid w:val="00DF46BF"/>
    <w:rsid w:val="00E344A5"/>
    <w:rsid w:val="00E92267"/>
    <w:rsid w:val="00E933B1"/>
    <w:rsid w:val="00EB1DB0"/>
    <w:rsid w:val="00EC62CA"/>
    <w:rsid w:val="00EF1F7C"/>
    <w:rsid w:val="00F40CA9"/>
    <w:rsid w:val="00F80FC2"/>
    <w:rsid w:val="00F93A49"/>
    <w:rsid w:val="00FA75C0"/>
    <w:rsid w:val="00FA7C39"/>
    <w:rsid w:val="00FE0DEA"/>
    <w:rsid w:val="00FF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9D"/>
  </w:style>
  <w:style w:type="paragraph" w:styleId="1">
    <w:name w:val="heading 1"/>
    <w:basedOn w:val="a"/>
    <w:next w:val="a"/>
    <w:qFormat/>
    <w:rsid w:val="0061299D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1299D"/>
    <w:pPr>
      <w:keepNext/>
      <w:ind w:left="5040" w:hanging="5040"/>
      <w:jc w:val="center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qFormat/>
    <w:rsid w:val="0061299D"/>
    <w:pPr>
      <w:keepNext/>
      <w:ind w:left="5040" w:hanging="5040"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rsid w:val="0061299D"/>
    <w:pPr>
      <w:keepNext/>
      <w:jc w:val="center"/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qFormat/>
    <w:rsid w:val="0061299D"/>
    <w:pPr>
      <w:keepNext/>
      <w:ind w:left="5529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61299D"/>
    <w:pPr>
      <w:keepNext/>
      <w:ind w:left="1418" w:hanging="1418"/>
      <w:jc w:val="center"/>
      <w:outlineLvl w:val="5"/>
    </w:pPr>
    <w:rPr>
      <w:b/>
      <w:spacing w:val="70"/>
      <w:sz w:val="32"/>
    </w:rPr>
  </w:style>
  <w:style w:type="paragraph" w:styleId="7">
    <w:name w:val="heading 7"/>
    <w:basedOn w:val="a"/>
    <w:next w:val="a"/>
    <w:qFormat/>
    <w:rsid w:val="0061299D"/>
    <w:pPr>
      <w:keepNext/>
      <w:ind w:left="1418" w:hanging="1418"/>
      <w:outlineLvl w:val="6"/>
    </w:pPr>
    <w:rPr>
      <w:sz w:val="28"/>
    </w:rPr>
  </w:style>
  <w:style w:type="paragraph" w:styleId="8">
    <w:name w:val="heading 8"/>
    <w:basedOn w:val="a"/>
    <w:next w:val="a"/>
    <w:qFormat/>
    <w:rsid w:val="0061299D"/>
    <w:pPr>
      <w:keepNext/>
      <w:outlineLvl w:val="7"/>
    </w:pPr>
    <w:rPr>
      <w:b/>
      <w:sz w:val="32"/>
      <w:lang w:val="en-US"/>
    </w:rPr>
  </w:style>
  <w:style w:type="paragraph" w:styleId="9">
    <w:name w:val="heading 9"/>
    <w:basedOn w:val="a"/>
    <w:next w:val="a"/>
    <w:qFormat/>
    <w:rsid w:val="0061299D"/>
    <w:pPr>
      <w:keepNext/>
      <w:ind w:left="284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1299D"/>
    <w:rPr>
      <w:sz w:val="28"/>
    </w:rPr>
  </w:style>
  <w:style w:type="paragraph" w:styleId="a4">
    <w:name w:val="Body Text"/>
    <w:basedOn w:val="a"/>
    <w:semiHidden/>
    <w:rsid w:val="0061299D"/>
    <w:rPr>
      <w:sz w:val="28"/>
    </w:rPr>
  </w:style>
  <w:style w:type="paragraph" w:styleId="a5">
    <w:name w:val="footnote text"/>
    <w:basedOn w:val="a"/>
    <w:semiHidden/>
    <w:rsid w:val="0061299D"/>
  </w:style>
  <w:style w:type="character" w:styleId="a6">
    <w:name w:val="footnote reference"/>
    <w:basedOn w:val="a0"/>
    <w:semiHidden/>
    <w:rsid w:val="0061299D"/>
    <w:rPr>
      <w:vertAlign w:val="superscript"/>
    </w:rPr>
  </w:style>
  <w:style w:type="paragraph" w:styleId="a7">
    <w:name w:val="footer"/>
    <w:basedOn w:val="a"/>
    <w:link w:val="Char"/>
    <w:uiPriority w:val="99"/>
    <w:rsid w:val="0061299D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61299D"/>
  </w:style>
  <w:style w:type="paragraph" w:styleId="a9">
    <w:name w:val="header"/>
    <w:basedOn w:val="a"/>
    <w:semiHidden/>
    <w:rsid w:val="0061299D"/>
    <w:pPr>
      <w:tabs>
        <w:tab w:val="center" w:pos="4153"/>
        <w:tab w:val="right" w:pos="8306"/>
      </w:tabs>
    </w:pPr>
  </w:style>
  <w:style w:type="paragraph" w:styleId="20">
    <w:name w:val="Body Text 2"/>
    <w:basedOn w:val="a"/>
    <w:semiHidden/>
    <w:rsid w:val="0061299D"/>
    <w:pPr>
      <w:jc w:val="both"/>
    </w:pPr>
    <w:rPr>
      <w:sz w:val="28"/>
    </w:rPr>
  </w:style>
  <w:style w:type="paragraph" w:styleId="aa">
    <w:name w:val="Body Text Indent"/>
    <w:basedOn w:val="a"/>
    <w:semiHidden/>
    <w:rsid w:val="0061299D"/>
    <w:pPr>
      <w:ind w:left="340"/>
    </w:pPr>
    <w:rPr>
      <w:sz w:val="28"/>
    </w:rPr>
  </w:style>
  <w:style w:type="character" w:styleId="-">
    <w:name w:val="Hyperlink"/>
    <w:basedOn w:val="a0"/>
    <w:semiHidden/>
    <w:rsid w:val="0061299D"/>
    <w:rPr>
      <w:color w:val="0000FF"/>
      <w:u w:val="single"/>
    </w:rPr>
  </w:style>
  <w:style w:type="character" w:customStyle="1" w:styleId="CharChar">
    <w:name w:val="Char Char"/>
    <w:basedOn w:val="a0"/>
    <w:rsid w:val="0061299D"/>
  </w:style>
  <w:style w:type="paragraph" w:styleId="30">
    <w:name w:val="Body Text 3"/>
    <w:basedOn w:val="a"/>
    <w:semiHidden/>
    <w:rsid w:val="0061299D"/>
    <w:pPr>
      <w:tabs>
        <w:tab w:val="left" w:pos="1701"/>
      </w:tabs>
      <w:jc w:val="both"/>
    </w:pPr>
    <w:rPr>
      <w:rFonts w:ascii="Calibri" w:hAnsi="Calibri" w:cs="Tahoma"/>
      <w:sz w:val="24"/>
      <w:szCs w:val="28"/>
    </w:rPr>
  </w:style>
  <w:style w:type="paragraph" w:styleId="ab">
    <w:name w:val="List Paragraph"/>
    <w:basedOn w:val="a"/>
    <w:uiPriority w:val="34"/>
    <w:qFormat/>
    <w:rsid w:val="00C6123B"/>
    <w:pPr>
      <w:ind w:left="720"/>
      <w:contextualSpacing/>
    </w:pPr>
  </w:style>
  <w:style w:type="character" w:customStyle="1" w:styleId="Char">
    <w:name w:val="Υποσέλιδο Char"/>
    <w:basedOn w:val="a0"/>
    <w:link w:val="a7"/>
    <w:uiPriority w:val="99"/>
    <w:rsid w:val="00A46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of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EOF</Company>
  <LinksUpToDate>false</LinksUpToDate>
  <CharactersWithSpaces>5700</CharactersWithSpaces>
  <SharedDoc>false</SharedDoc>
  <HLinks>
    <vt:vector size="24" baseType="variant">
      <vt:variant>
        <vt:i4>6291555</vt:i4>
      </vt:variant>
      <vt:variant>
        <vt:i4>21</vt:i4>
      </vt:variant>
      <vt:variant>
        <vt:i4>0</vt:i4>
      </vt:variant>
      <vt:variant>
        <vt:i4>5</vt:i4>
      </vt:variant>
      <vt:variant>
        <vt:lpwstr>http://www.eof.gr/</vt:lpwstr>
      </vt:variant>
      <vt:variant>
        <vt:lpwstr/>
      </vt:variant>
      <vt:variant>
        <vt:i4>6291555</vt:i4>
      </vt:variant>
      <vt:variant>
        <vt:i4>15</vt:i4>
      </vt:variant>
      <vt:variant>
        <vt:i4>0</vt:i4>
      </vt:variant>
      <vt:variant>
        <vt:i4>5</vt:i4>
      </vt:variant>
      <vt:variant>
        <vt:lpwstr>http://www.eof.gr/</vt:lpwstr>
      </vt:variant>
      <vt:variant>
        <vt:lpwstr/>
      </vt:variant>
      <vt:variant>
        <vt:i4>6291555</vt:i4>
      </vt:variant>
      <vt:variant>
        <vt:i4>9</vt:i4>
      </vt:variant>
      <vt:variant>
        <vt:i4>0</vt:i4>
      </vt:variant>
      <vt:variant>
        <vt:i4>5</vt:i4>
      </vt:variant>
      <vt:variant>
        <vt:lpwstr>http://www.eof.gr/</vt:lpwstr>
      </vt:variant>
      <vt:variant>
        <vt:lpwstr/>
      </vt:variant>
      <vt:variant>
        <vt:i4>6291555</vt:i4>
      </vt:variant>
      <vt:variant>
        <vt:i4>3</vt:i4>
      </vt:variant>
      <vt:variant>
        <vt:i4>0</vt:i4>
      </vt:variant>
      <vt:variant>
        <vt:i4>5</vt:i4>
      </vt:variant>
      <vt:variant>
        <vt:lpwstr>http://www.eof.gr/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inspection</dc:creator>
  <cp:lastModifiedBy>Username</cp:lastModifiedBy>
  <cp:revision>2</cp:revision>
  <cp:lastPrinted>2013-07-04T07:13:00Z</cp:lastPrinted>
  <dcterms:created xsi:type="dcterms:W3CDTF">2013-07-14T17:53:00Z</dcterms:created>
  <dcterms:modified xsi:type="dcterms:W3CDTF">2013-07-14T17:53:00Z</dcterms:modified>
</cp:coreProperties>
</file>